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2F91E" w14:textId="5637869E" w:rsidR="006106EF" w:rsidRPr="00CC219E" w:rsidRDefault="006106EF" w:rsidP="001C6CE2">
      <w:pPr>
        <w:spacing w:before="100" w:beforeAutospacing="1" w:after="100" w:afterAutospacing="1" w:line="240" w:lineRule="auto"/>
        <w:rPr>
          <w:rFonts w:ascii="Segoe UI" w:eastAsia="Times New Roman" w:hAnsi="Segoe UI" w:cs="Segoe UI"/>
          <w:kern w:val="0"/>
          <w14:ligatures w14:val="none"/>
        </w:rPr>
      </w:pPr>
      <w:r w:rsidRPr="00CC219E">
        <w:rPr>
          <w:rFonts w:ascii="Segoe UI" w:eastAsia="Times New Roman" w:hAnsi="Segoe UI" w:cs="Segoe UI"/>
          <w:kern w:val="0"/>
          <w14:ligatures w14:val="none"/>
        </w:rPr>
        <w:t xml:space="preserve">January </w:t>
      </w:r>
      <w:r w:rsidR="00CC219E" w:rsidRPr="00CC219E">
        <w:rPr>
          <w:rFonts w:ascii="Segoe UI" w:eastAsia="Times New Roman" w:hAnsi="Segoe UI" w:cs="Segoe UI"/>
          <w:kern w:val="0"/>
          <w14:ligatures w14:val="none"/>
        </w:rPr>
        <w:t>28, 2026</w:t>
      </w:r>
    </w:p>
    <w:p w14:paraId="692F578A" w14:textId="7994BF11"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b/>
          <w:bCs/>
          <w:kern w:val="0"/>
          <w14:ligatures w14:val="none"/>
        </w:rPr>
        <w:t>To:</w:t>
      </w:r>
      <w:r w:rsidRPr="004672F3">
        <w:rPr>
          <w:rFonts w:ascii="Segoe UI" w:eastAsia="Times New Roman" w:hAnsi="Segoe UI" w:cs="Segoe UI"/>
          <w:kern w:val="0"/>
          <w14:ligatures w14:val="none"/>
        </w:rPr>
        <w:t xml:space="preserve"> Town Leadership and Warrant Committee</w:t>
      </w:r>
      <w:r w:rsidRPr="004672F3">
        <w:rPr>
          <w:rFonts w:ascii="Segoe UI" w:eastAsia="Times New Roman" w:hAnsi="Segoe UI" w:cs="Segoe UI"/>
          <w:kern w:val="0"/>
          <w14:ligatures w14:val="none"/>
        </w:rPr>
        <w:br/>
      </w:r>
      <w:r w:rsidRPr="004672F3">
        <w:rPr>
          <w:rFonts w:ascii="Segoe UI" w:eastAsia="Times New Roman" w:hAnsi="Segoe UI" w:cs="Segoe UI"/>
          <w:b/>
          <w:bCs/>
          <w:kern w:val="0"/>
          <w14:ligatures w14:val="none"/>
        </w:rPr>
        <w:t>From:</w:t>
      </w:r>
      <w:r w:rsidRPr="004672F3">
        <w:rPr>
          <w:rFonts w:ascii="Segoe UI" w:eastAsia="Times New Roman" w:hAnsi="Segoe UI" w:cs="Segoe UI"/>
          <w:kern w:val="0"/>
          <w14:ligatures w14:val="none"/>
        </w:rPr>
        <w:t xml:space="preserve"> Stephen Callahan</w:t>
      </w:r>
      <w:r w:rsidRPr="004672F3">
        <w:rPr>
          <w:rFonts w:ascii="Segoe UI" w:eastAsia="Times New Roman" w:hAnsi="Segoe UI" w:cs="Segoe UI"/>
          <w:kern w:val="0"/>
          <w14:ligatures w14:val="none"/>
        </w:rPr>
        <w:br/>
      </w:r>
      <w:r w:rsidRPr="004672F3">
        <w:rPr>
          <w:rFonts w:ascii="Segoe UI" w:eastAsia="Times New Roman" w:hAnsi="Segoe UI" w:cs="Segoe UI"/>
          <w:b/>
          <w:bCs/>
          <w:kern w:val="0"/>
          <w14:ligatures w14:val="none"/>
        </w:rPr>
        <w:t>Subject:</w:t>
      </w:r>
      <w:r w:rsidRPr="004672F3">
        <w:rPr>
          <w:rFonts w:ascii="Segoe UI" w:eastAsia="Times New Roman" w:hAnsi="Segoe UI" w:cs="Segoe UI"/>
          <w:kern w:val="0"/>
          <w14:ligatures w14:val="none"/>
        </w:rPr>
        <w:t xml:space="preserve"> Credit Rating Factors, Structural Balance, and Implications for Medfield</w:t>
      </w:r>
      <w:r w:rsidRPr="004672F3">
        <w:rPr>
          <w:rFonts w:ascii="Segoe UI" w:eastAsia="Times New Roman" w:hAnsi="Segoe UI" w:cs="Segoe UI"/>
          <w:kern w:val="0"/>
          <w14:ligatures w14:val="none"/>
        </w:rPr>
        <w:br/>
      </w:r>
      <w:r w:rsidRPr="004672F3">
        <w:rPr>
          <w:rFonts w:ascii="Segoe UI" w:eastAsia="Times New Roman" w:hAnsi="Segoe UI" w:cs="Segoe UI"/>
          <w:b/>
          <w:bCs/>
          <w:kern w:val="0"/>
          <w14:ligatures w14:val="none"/>
        </w:rPr>
        <w:t>Purpose:</w:t>
      </w:r>
      <w:r w:rsidRPr="004672F3">
        <w:rPr>
          <w:rFonts w:ascii="Segoe UI" w:eastAsia="Times New Roman" w:hAnsi="Segoe UI" w:cs="Segoe UI"/>
          <w:kern w:val="0"/>
          <w14:ligatures w14:val="none"/>
        </w:rPr>
        <w:t xml:space="preserve"> To summarize the rating considerations most relevant to Medfield ahead of the Town’s largest planned bond issuance and to outline the financial impact of maintaining or improving the Town’s credit rating.</w:t>
      </w:r>
    </w:p>
    <w:p w14:paraId="583E436A" w14:textId="77777777" w:rsidR="001C6CE2" w:rsidRPr="004672F3" w:rsidRDefault="00000000" w:rsidP="001C6CE2">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w14:anchorId="36658D18">
          <v:rect id="_x0000_i1025" style="width:0;height:1.5pt" o:hralign="center" o:hrstd="t" o:hr="t" fillcolor="#a0a0a0" stroked="f"/>
        </w:pict>
      </w:r>
    </w:p>
    <w:p w14:paraId="67AD2421" w14:textId="77777777" w:rsidR="001C6CE2" w:rsidRPr="004672F3" w:rsidRDefault="001C6CE2" w:rsidP="001C6CE2">
      <w:pPr>
        <w:spacing w:before="100" w:beforeAutospacing="1" w:after="100" w:afterAutospacing="1" w:line="240" w:lineRule="auto"/>
        <w:outlineLvl w:val="0"/>
        <w:rPr>
          <w:rFonts w:ascii="Segoe UI" w:eastAsia="Times New Roman" w:hAnsi="Segoe UI" w:cs="Segoe UI"/>
          <w:b/>
          <w:bCs/>
          <w:kern w:val="36"/>
          <w:sz w:val="48"/>
          <w:szCs w:val="48"/>
          <w14:ligatures w14:val="none"/>
        </w:rPr>
      </w:pPr>
      <w:r w:rsidRPr="004672F3">
        <w:rPr>
          <w:rFonts w:ascii="Segoe UI" w:eastAsia="Times New Roman" w:hAnsi="Segoe UI" w:cs="Segoe UI"/>
          <w:b/>
          <w:bCs/>
          <w:kern w:val="36"/>
          <w:sz w:val="48"/>
          <w:szCs w:val="48"/>
          <w14:ligatures w14:val="none"/>
        </w:rPr>
        <w:t>Overview</w:t>
      </w:r>
    </w:p>
    <w:p w14:paraId="784FF208"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As Medfield prepares for the Dale Street Elementary School bond and additional major capital projects over the next several years, maintaining the strongest possible credit rating is essential. Rating agencies place significant weight on </w:t>
      </w:r>
      <w:r w:rsidRPr="004672F3">
        <w:rPr>
          <w:rFonts w:ascii="Segoe UI" w:eastAsia="Times New Roman" w:hAnsi="Segoe UI" w:cs="Segoe UI"/>
          <w:b/>
          <w:bCs/>
          <w:kern w:val="0"/>
          <w14:ligatures w14:val="none"/>
        </w:rPr>
        <w:t>reserve strength, liquidity, financial management, and structural balance</w:t>
      </w:r>
      <w:r w:rsidRPr="004672F3">
        <w:rPr>
          <w:rFonts w:ascii="Segoe UI" w:eastAsia="Times New Roman" w:hAnsi="Segoe UI" w:cs="Segoe UI"/>
          <w:kern w:val="0"/>
          <w14:ligatures w14:val="none"/>
        </w:rPr>
        <w:t xml:space="preserve"> — factors that typically represent </w:t>
      </w:r>
      <w:r w:rsidRPr="004672F3">
        <w:rPr>
          <w:rFonts w:ascii="Segoe UI" w:eastAsia="Times New Roman" w:hAnsi="Segoe UI" w:cs="Segoe UI"/>
          <w:b/>
          <w:bCs/>
          <w:kern w:val="0"/>
          <w14:ligatures w14:val="none"/>
        </w:rPr>
        <w:t>20–35% of the overall rating</w:t>
      </w:r>
      <w:r w:rsidRPr="004672F3">
        <w:rPr>
          <w:rFonts w:ascii="Segoe UI" w:eastAsia="Times New Roman" w:hAnsi="Segoe UI" w:cs="Segoe UI"/>
          <w:kern w:val="0"/>
          <w14:ligatures w14:val="none"/>
        </w:rPr>
        <w:t>.</w:t>
      </w:r>
    </w:p>
    <w:p w14:paraId="2E051A43"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A consistent theme across all methodologies is clear: </w:t>
      </w:r>
      <w:r w:rsidRPr="004672F3">
        <w:rPr>
          <w:rFonts w:ascii="Segoe UI" w:eastAsia="Times New Roman" w:hAnsi="Segoe UI" w:cs="Segoe UI"/>
          <w:b/>
          <w:bCs/>
          <w:kern w:val="0"/>
          <w14:ligatures w14:val="none"/>
        </w:rPr>
        <w:t>recurring operating expenses must be supported by recurring revenues.</w:t>
      </w:r>
      <w:r w:rsidRPr="004672F3">
        <w:rPr>
          <w:rFonts w:ascii="Segoe UI" w:eastAsia="Times New Roman" w:hAnsi="Segoe UI" w:cs="Segoe UI"/>
          <w:kern w:val="0"/>
          <w14:ligatures w14:val="none"/>
        </w:rPr>
        <w:t xml:space="preserve"> Use of one</w:t>
      </w:r>
      <w:r w:rsidRPr="004672F3">
        <w:rPr>
          <w:rFonts w:ascii="Segoe UI" w:eastAsia="Times New Roman" w:hAnsi="Segoe UI" w:cs="Segoe UI"/>
          <w:kern w:val="0"/>
          <w14:ligatures w14:val="none"/>
        </w:rPr>
        <w:noBreakHyphen/>
        <w:t xml:space="preserve">time revenues — including Free Cash — to fund ongoing operations is viewed as a sign of </w:t>
      </w:r>
      <w:r w:rsidRPr="004672F3">
        <w:rPr>
          <w:rFonts w:ascii="Segoe UI" w:eastAsia="Times New Roman" w:hAnsi="Segoe UI" w:cs="Segoe UI"/>
          <w:b/>
          <w:bCs/>
          <w:kern w:val="0"/>
          <w14:ligatures w14:val="none"/>
        </w:rPr>
        <w:t>structural imbalance</w:t>
      </w:r>
      <w:r w:rsidRPr="004672F3">
        <w:rPr>
          <w:rFonts w:ascii="Segoe UI" w:eastAsia="Times New Roman" w:hAnsi="Segoe UI" w:cs="Segoe UI"/>
          <w:kern w:val="0"/>
          <w14:ligatures w14:val="none"/>
        </w:rPr>
        <w:t xml:space="preserve"> and weak financial management.</w:t>
      </w:r>
    </w:p>
    <w:p w14:paraId="14CD51D6"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A detailed summary of Moody’s and S&amp;P methodologies is included in the </w:t>
      </w:r>
      <w:r w:rsidRPr="004672F3">
        <w:rPr>
          <w:rFonts w:ascii="Segoe UI" w:eastAsia="Times New Roman" w:hAnsi="Segoe UI" w:cs="Segoe UI"/>
          <w:b/>
          <w:bCs/>
          <w:kern w:val="0"/>
          <w14:ligatures w14:val="none"/>
        </w:rPr>
        <w:t>Appendix</w:t>
      </w:r>
      <w:r w:rsidRPr="004672F3">
        <w:rPr>
          <w:rFonts w:ascii="Segoe UI" w:eastAsia="Times New Roman" w:hAnsi="Segoe UI" w:cs="Segoe UI"/>
          <w:kern w:val="0"/>
          <w14:ligatures w14:val="none"/>
        </w:rPr>
        <w:t>.</w:t>
      </w:r>
    </w:p>
    <w:p w14:paraId="23C93BE3" w14:textId="77777777" w:rsidR="001C6CE2" w:rsidRPr="004672F3" w:rsidRDefault="00000000" w:rsidP="001C6CE2">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w14:anchorId="70E2B30C">
          <v:rect id="_x0000_i1026" style="width:0;height:1.5pt" o:hralign="center" o:hrstd="t" o:hr="t" fillcolor="#a0a0a0" stroked="f"/>
        </w:pict>
      </w:r>
    </w:p>
    <w:p w14:paraId="7A0B2F54" w14:textId="77777777" w:rsidR="001C6CE2" w:rsidRPr="004672F3" w:rsidRDefault="001C6CE2" w:rsidP="001C6CE2">
      <w:pPr>
        <w:spacing w:before="100" w:beforeAutospacing="1" w:after="100" w:afterAutospacing="1" w:line="240" w:lineRule="auto"/>
        <w:outlineLvl w:val="0"/>
        <w:rPr>
          <w:rFonts w:ascii="Segoe UI" w:eastAsia="Times New Roman" w:hAnsi="Segoe UI" w:cs="Segoe UI"/>
          <w:b/>
          <w:bCs/>
          <w:kern w:val="36"/>
          <w:sz w:val="48"/>
          <w:szCs w:val="48"/>
          <w14:ligatures w14:val="none"/>
        </w:rPr>
      </w:pPr>
      <w:r w:rsidRPr="004672F3">
        <w:rPr>
          <w:rFonts w:ascii="Segoe UI" w:eastAsia="Times New Roman" w:hAnsi="Segoe UI" w:cs="Segoe UI"/>
          <w:b/>
          <w:bCs/>
          <w:kern w:val="36"/>
          <w:sz w:val="48"/>
          <w:szCs w:val="48"/>
          <w14:ligatures w14:val="none"/>
        </w:rPr>
        <w:t>Key Rating Considerations for Medfield</w:t>
      </w:r>
    </w:p>
    <w:p w14:paraId="1A23AEBE" w14:textId="77777777" w:rsidR="001C6CE2" w:rsidRPr="004672F3" w:rsidRDefault="001C6CE2" w:rsidP="001C6CE2">
      <w:pP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4672F3">
        <w:rPr>
          <w:rFonts w:ascii="Segoe UI" w:eastAsia="Times New Roman" w:hAnsi="Segoe UI" w:cs="Segoe UI"/>
          <w:b/>
          <w:bCs/>
          <w:kern w:val="0"/>
          <w:sz w:val="36"/>
          <w:szCs w:val="36"/>
          <w14:ligatures w14:val="none"/>
        </w:rPr>
        <w:t>1. Structural Balance and Use of One</w:t>
      </w:r>
      <w:r w:rsidRPr="004672F3">
        <w:rPr>
          <w:rFonts w:ascii="Segoe UI" w:eastAsia="Times New Roman" w:hAnsi="Segoe UI" w:cs="Segoe UI"/>
          <w:b/>
          <w:bCs/>
          <w:kern w:val="0"/>
          <w:sz w:val="36"/>
          <w:szCs w:val="36"/>
          <w14:ligatures w14:val="none"/>
        </w:rPr>
        <w:noBreakHyphen/>
        <w:t>Time Revenues</w:t>
      </w:r>
    </w:p>
    <w:p w14:paraId="65F36100"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Rating agencies explicitly cite the following as negative credit factors:</w:t>
      </w:r>
    </w:p>
    <w:p w14:paraId="44DD1CC2" w14:textId="77777777" w:rsidR="001C6CE2" w:rsidRPr="004672F3" w:rsidRDefault="001C6CE2" w:rsidP="001C6CE2">
      <w:pPr>
        <w:numPr>
          <w:ilvl w:val="0"/>
          <w:numId w:val="1"/>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Reliance on non</w:t>
      </w:r>
      <w:r w:rsidRPr="004672F3">
        <w:rPr>
          <w:rFonts w:ascii="Segoe UI" w:eastAsia="Times New Roman" w:hAnsi="Segoe UI" w:cs="Segoe UI"/>
          <w:kern w:val="0"/>
          <w14:ligatures w14:val="none"/>
        </w:rPr>
        <w:noBreakHyphen/>
        <w:t>recurring revenues to balance the operating budget</w:t>
      </w:r>
    </w:p>
    <w:p w14:paraId="71A51D8F" w14:textId="77777777" w:rsidR="001C6CE2" w:rsidRPr="004672F3" w:rsidRDefault="001C6CE2" w:rsidP="001C6CE2">
      <w:pPr>
        <w:numPr>
          <w:ilvl w:val="0"/>
          <w:numId w:val="1"/>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Drawdowns of reserves for ongoing costs</w:t>
      </w:r>
    </w:p>
    <w:p w14:paraId="666BE40B" w14:textId="77777777" w:rsidR="001C6CE2" w:rsidRPr="004672F3" w:rsidRDefault="001C6CE2" w:rsidP="001C6CE2">
      <w:pPr>
        <w:numPr>
          <w:ilvl w:val="0"/>
          <w:numId w:val="1"/>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Recurring operating gaps or deficit spending</w:t>
      </w:r>
    </w:p>
    <w:p w14:paraId="541865D1" w14:textId="77777777" w:rsidR="001C6CE2" w:rsidRPr="004672F3" w:rsidRDefault="001C6CE2" w:rsidP="001C6CE2">
      <w:pPr>
        <w:numPr>
          <w:ilvl w:val="0"/>
          <w:numId w:val="1"/>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Weak adherence to adopted financial policies</w:t>
      </w:r>
    </w:p>
    <w:p w14:paraId="4706EB60"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lastRenderedPageBreak/>
        <w:t>Even a single year of using Free Cash for operations may not trigger an immediate downgrade, but it can reduce the management score, prompt a negative outlook, and increase scrutiny in future reviews.</w:t>
      </w:r>
    </w:p>
    <w:p w14:paraId="35133F72" w14:textId="77777777" w:rsidR="001C6CE2" w:rsidRPr="004672F3" w:rsidRDefault="001C6CE2" w:rsidP="001C6CE2">
      <w:pP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4672F3">
        <w:rPr>
          <w:rFonts w:ascii="Segoe UI" w:eastAsia="Times New Roman" w:hAnsi="Segoe UI" w:cs="Segoe UI"/>
          <w:b/>
          <w:bCs/>
          <w:kern w:val="0"/>
          <w:sz w:val="36"/>
          <w:szCs w:val="36"/>
          <w14:ligatures w14:val="none"/>
        </w:rPr>
        <w:t>2. Reserves and Liquidity</w:t>
      </w:r>
    </w:p>
    <w:p w14:paraId="3E75C2F8"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Both Moody’s and S&amp;P evaluate:</w:t>
      </w:r>
    </w:p>
    <w:p w14:paraId="46C573AB" w14:textId="77777777" w:rsidR="001C6CE2" w:rsidRPr="004672F3" w:rsidRDefault="001C6CE2" w:rsidP="001C6CE2">
      <w:pPr>
        <w:numPr>
          <w:ilvl w:val="0"/>
          <w:numId w:val="2"/>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Total fund balance as a percentage of revenues</w:t>
      </w:r>
    </w:p>
    <w:p w14:paraId="1FF33D37" w14:textId="77777777" w:rsidR="001C6CE2" w:rsidRPr="004672F3" w:rsidRDefault="001C6CE2" w:rsidP="001C6CE2">
      <w:pPr>
        <w:numPr>
          <w:ilvl w:val="0"/>
          <w:numId w:val="2"/>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Cash and liquidity levels</w:t>
      </w:r>
    </w:p>
    <w:p w14:paraId="51803581" w14:textId="77777777" w:rsidR="001C6CE2" w:rsidRPr="004672F3" w:rsidRDefault="001C6CE2" w:rsidP="001C6CE2">
      <w:pPr>
        <w:numPr>
          <w:ilvl w:val="0"/>
          <w:numId w:val="2"/>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Five</w:t>
      </w:r>
      <w:r w:rsidRPr="004672F3">
        <w:rPr>
          <w:rFonts w:ascii="Segoe UI" w:eastAsia="Times New Roman" w:hAnsi="Segoe UI" w:cs="Segoe UI"/>
          <w:kern w:val="0"/>
          <w14:ligatures w14:val="none"/>
        </w:rPr>
        <w:noBreakHyphen/>
        <w:t>year trends in reserves</w:t>
      </w:r>
    </w:p>
    <w:p w14:paraId="3E917D7D" w14:textId="77777777" w:rsidR="001C6CE2" w:rsidRPr="004672F3" w:rsidRDefault="001C6CE2" w:rsidP="001C6CE2">
      <w:pPr>
        <w:numPr>
          <w:ilvl w:val="0"/>
          <w:numId w:val="2"/>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Adherence to formal reserve policies</w:t>
      </w:r>
    </w:p>
    <w:p w14:paraId="6E880644"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Medfield’s disciplined budgeting and reserve growth over the past four years strengthen its credit profile and position the Town for potential upward rating consideration.</w:t>
      </w:r>
    </w:p>
    <w:p w14:paraId="0E7EAF81" w14:textId="77777777" w:rsidR="001C6CE2" w:rsidRPr="004672F3" w:rsidRDefault="001C6CE2" w:rsidP="001C6CE2">
      <w:pP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4672F3">
        <w:rPr>
          <w:rFonts w:ascii="Segoe UI" w:eastAsia="Times New Roman" w:hAnsi="Segoe UI" w:cs="Segoe UI"/>
          <w:b/>
          <w:bCs/>
          <w:kern w:val="0"/>
          <w:sz w:val="36"/>
          <w:szCs w:val="36"/>
          <w14:ligatures w14:val="none"/>
        </w:rPr>
        <w:t>3. Long</w:t>
      </w:r>
      <w:r w:rsidRPr="004672F3">
        <w:rPr>
          <w:rFonts w:ascii="Segoe UI" w:eastAsia="Times New Roman" w:hAnsi="Segoe UI" w:cs="Segoe UI"/>
          <w:b/>
          <w:bCs/>
          <w:kern w:val="0"/>
          <w:sz w:val="36"/>
          <w:szCs w:val="36"/>
          <w14:ligatures w14:val="none"/>
        </w:rPr>
        <w:noBreakHyphen/>
        <w:t>Term Capital Planning and Upcoming Borrowing Needs</w:t>
      </w:r>
    </w:p>
    <w:p w14:paraId="2D1F987E"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Medfield’s 20</w:t>
      </w:r>
      <w:r w:rsidRPr="004672F3">
        <w:rPr>
          <w:rFonts w:ascii="Segoe UI" w:eastAsia="Times New Roman" w:hAnsi="Segoe UI" w:cs="Segoe UI"/>
          <w:kern w:val="0"/>
          <w14:ligatures w14:val="none"/>
        </w:rPr>
        <w:noBreakHyphen/>
        <w:t xml:space="preserve">Year Capital Plan identifies </w:t>
      </w:r>
      <w:r w:rsidRPr="004672F3">
        <w:rPr>
          <w:rFonts w:ascii="Segoe UI" w:eastAsia="Times New Roman" w:hAnsi="Segoe UI" w:cs="Segoe UI"/>
          <w:b/>
          <w:bCs/>
          <w:kern w:val="0"/>
          <w14:ligatures w14:val="none"/>
        </w:rPr>
        <w:t>more than $100 million in capital needs over the next five years</w:t>
      </w:r>
      <w:r w:rsidRPr="004672F3">
        <w:rPr>
          <w:rFonts w:ascii="Segoe UI" w:eastAsia="Times New Roman" w:hAnsi="Segoe UI" w:cs="Segoe UI"/>
          <w:kern w:val="0"/>
          <w14:ligatures w14:val="none"/>
        </w:rPr>
        <w:t xml:space="preserve">, </w:t>
      </w:r>
      <w:r w:rsidRPr="004672F3">
        <w:rPr>
          <w:rFonts w:ascii="Segoe UI" w:eastAsia="Times New Roman" w:hAnsi="Segoe UI" w:cs="Segoe UI"/>
          <w:b/>
          <w:bCs/>
          <w:kern w:val="0"/>
          <w14:ligatures w14:val="none"/>
        </w:rPr>
        <w:t>excluding</w:t>
      </w:r>
      <w:r w:rsidRPr="004672F3">
        <w:rPr>
          <w:rFonts w:ascii="Segoe UI" w:eastAsia="Times New Roman" w:hAnsi="Segoe UI" w:cs="Segoe UI"/>
          <w:kern w:val="0"/>
          <w14:ligatures w14:val="none"/>
        </w:rPr>
        <w:t xml:space="preserve"> the Dale Street Elementary School project and the Pfaff building replacement. These needs primarily involve:</w:t>
      </w:r>
    </w:p>
    <w:p w14:paraId="3029EF31" w14:textId="77777777" w:rsidR="001C6CE2" w:rsidRPr="004672F3" w:rsidRDefault="001C6CE2" w:rsidP="001C6CE2">
      <w:pPr>
        <w:numPr>
          <w:ilvl w:val="0"/>
          <w:numId w:val="3"/>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School building </w:t>
      </w:r>
      <w:proofErr w:type="gramStart"/>
      <w:r w:rsidRPr="004672F3">
        <w:rPr>
          <w:rFonts w:ascii="Segoe UI" w:eastAsia="Times New Roman" w:hAnsi="Segoe UI" w:cs="Segoe UI"/>
          <w:kern w:val="0"/>
          <w14:ligatures w14:val="none"/>
        </w:rPr>
        <w:t>envelope</w:t>
      </w:r>
      <w:proofErr w:type="gramEnd"/>
      <w:r w:rsidRPr="004672F3">
        <w:rPr>
          <w:rFonts w:ascii="Segoe UI" w:eastAsia="Times New Roman" w:hAnsi="Segoe UI" w:cs="Segoe UI"/>
          <w:kern w:val="0"/>
          <w14:ligatures w14:val="none"/>
        </w:rPr>
        <w:t xml:space="preserve"> and HVAC systems</w:t>
      </w:r>
    </w:p>
    <w:p w14:paraId="53CA0756" w14:textId="77777777" w:rsidR="001C6CE2" w:rsidRPr="004672F3" w:rsidRDefault="001C6CE2" w:rsidP="001C6CE2">
      <w:pPr>
        <w:numPr>
          <w:ilvl w:val="0"/>
          <w:numId w:val="3"/>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Water infrastructure improvements throughout the Town</w:t>
      </w:r>
    </w:p>
    <w:p w14:paraId="08885499"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b/>
          <w:bCs/>
          <w:kern w:val="0"/>
          <w14:ligatures w14:val="none"/>
        </w:rPr>
        <w:t>This concentration of major capital projects — in addition to the Dale Street Elementary School and Pfaff projects — underscores the importance of maintaining structural balance and protecting reserves.</w:t>
      </w:r>
    </w:p>
    <w:p w14:paraId="52A18427" w14:textId="77777777" w:rsidR="007C134A" w:rsidRDefault="007C134A" w:rsidP="001C6CE2">
      <w:pPr>
        <w:spacing w:after="0" w:line="240" w:lineRule="auto"/>
        <w:rPr>
          <w:rFonts w:ascii="Segoe UI" w:eastAsia="Times New Roman" w:hAnsi="Segoe UI" w:cs="Segoe UI"/>
          <w:kern w:val="0"/>
          <w14:ligatures w14:val="none"/>
        </w:rPr>
      </w:pPr>
    </w:p>
    <w:p w14:paraId="54AA93D3" w14:textId="77777777" w:rsidR="007C134A" w:rsidRDefault="007C134A" w:rsidP="001C6CE2">
      <w:pPr>
        <w:spacing w:after="0" w:line="240" w:lineRule="auto"/>
        <w:rPr>
          <w:rFonts w:ascii="Segoe UI" w:eastAsia="Times New Roman" w:hAnsi="Segoe UI" w:cs="Segoe UI"/>
          <w:kern w:val="0"/>
          <w14:ligatures w14:val="none"/>
        </w:rPr>
      </w:pPr>
    </w:p>
    <w:p w14:paraId="2CDE902B" w14:textId="77777777" w:rsidR="007C134A" w:rsidRDefault="007C134A" w:rsidP="001C6CE2">
      <w:pPr>
        <w:spacing w:after="0" w:line="240" w:lineRule="auto"/>
        <w:rPr>
          <w:rFonts w:ascii="Segoe UI" w:eastAsia="Times New Roman" w:hAnsi="Segoe UI" w:cs="Segoe UI"/>
          <w:kern w:val="0"/>
          <w14:ligatures w14:val="none"/>
        </w:rPr>
      </w:pPr>
    </w:p>
    <w:p w14:paraId="44ABC514" w14:textId="77777777" w:rsidR="007C134A" w:rsidRDefault="007C134A" w:rsidP="001C6CE2">
      <w:pPr>
        <w:spacing w:after="0" w:line="240" w:lineRule="auto"/>
        <w:rPr>
          <w:rFonts w:ascii="Segoe UI" w:eastAsia="Times New Roman" w:hAnsi="Segoe UI" w:cs="Segoe UI"/>
          <w:kern w:val="0"/>
          <w14:ligatures w14:val="none"/>
        </w:rPr>
      </w:pPr>
    </w:p>
    <w:p w14:paraId="02FDC0F7" w14:textId="77777777" w:rsidR="007C134A" w:rsidRDefault="007C134A" w:rsidP="001C6CE2">
      <w:pPr>
        <w:spacing w:after="0" w:line="240" w:lineRule="auto"/>
        <w:rPr>
          <w:rFonts w:ascii="Segoe UI" w:eastAsia="Times New Roman" w:hAnsi="Segoe UI" w:cs="Segoe UI"/>
          <w:kern w:val="0"/>
          <w14:ligatures w14:val="none"/>
        </w:rPr>
      </w:pPr>
    </w:p>
    <w:p w14:paraId="4B3355FB" w14:textId="77777777" w:rsidR="007C134A" w:rsidRDefault="007C134A" w:rsidP="001C6CE2">
      <w:pPr>
        <w:spacing w:after="0" w:line="240" w:lineRule="auto"/>
        <w:rPr>
          <w:rFonts w:ascii="Segoe UI" w:eastAsia="Times New Roman" w:hAnsi="Segoe UI" w:cs="Segoe UI"/>
          <w:kern w:val="0"/>
          <w14:ligatures w14:val="none"/>
        </w:rPr>
      </w:pPr>
    </w:p>
    <w:p w14:paraId="59602A37" w14:textId="77777777" w:rsidR="007C134A" w:rsidRDefault="007C134A" w:rsidP="001C6CE2">
      <w:pPr>
        <w:spacing w:after="0" w:line="240" w:lineRule="auto"/>
        <w:rPr>
          <w:rFonts w:ascii="Segoe UI" w:eastAsia="Times New Roman" w:hAnsi="Segoe UI" w:cs="Segoe UI"/>
          <w:kern w:val="0"/>
          <w14:ligatures w14:val="none"/>
        </w:rPr>
      </w:pPr>
    </w:p>
    <w:p w14:paraId="18F2CEBA" w14:textId="77777777" w:rsidR="007C134A" w:rsidRDefault="007C134A" w:rsidP="001C6CE2">
      <w:pPr>
        <w:spacing w:after="0" w:line="240" w:lineRule="auto"/>
        <w:rPr>
          <w:rFonts w:ascii="Segoe UI" w:eastAsia="Times New Roman" w:hAnsi="Segoe UI" w:cs="Segoe UI"/>
          <w:kern w:val="0"/>
          <w14:ligatures w14:val="none"/>
        </w:rPr>
      </w:pPr>
    </w:p>
    <w:p w14:paraId="712229B3" w14:textId="594075C4" w:rsidR="001C6CE2" w:rsidRPr="004672F3" w:rsidRDefault="00000000" w:rsidP="001C6CE2">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w14:anchorId="0554616A">
          <v:rect id="_x0000_i1027" style="width:0;height:1.5pt" o:hralign="center" o:hrstd="t" o:hr="t" fillcolor="#a0a0a0" stroked="f"/>
        </w:pict>
      </w:r>
    </w:p>
    <w:p w14:paraId="46A6BA1A" w14:textId="26158011" w:rsidR="001C6CE2" w:rsidRPr="004672F3" w:rsidRDefault="001C6CE2" w:rsidP="001C6CE2">
      <w:pPr>
        <w:spacing w:before="100" w:beforeAutospacing="1" w:after="100" w:afterAutospacing="1" w:line="240" w:lineRule="auto"/>
        <w:outlineLvl w:val="0"/>
        <w:rPr>
          <w:rFonts w:ascii="Segoe UI" w:eastAsia="Times New Roman" w:hAnsi="Segoe UI" w:cs="Segoe UI"/>
          <w:b/>
          <w:bCs/>
          <w:kern w:val="36"/>
          <w:sz w:val="48"/>
          <w:szCs w:val="48"/>
          <w14:ligatures w14:val="none"/>
        </w:rPr>
      </w:pPr>
      <w:r w:rsidRPr="004672F3">
        <w:rPr>
          <w:rFonts w:ascii="Segoe UI" w:eastAsia="Times New Roman" w:hAnsi="Segoe UI" w:cs="Segoe UI"/>
          <w:b/>
          <w:bCs/>
          <w:kern w:val="36"/>
          <w:sz w:val="48"/>
          <w:szCs w:val="48"/>
          <w14:ligatures w14:val="none"/>
        </w:rPr>
        <w:lastRenderedPageBreak/>
        <w:t>Financial Impact of Rating Changes</w:t>
      </w:r>
    </w:p>
    <w:p w14:paraId="053E5DE0" w14:textId="77777777" w:rsidR="001C6CE2" w:rsidRPr="004672F3" w:rsidRDefault="001C6CE2" w:rsidP="001C6CE2">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A typical spread of </w:t>
      </w:r>
      <w:r w:rsidRPr="004672F3">
        <w:rPr>
          <w:rFonts w:ascii="Segoe UI" w:eastAsia="Times New Roman" w:hAnsi="Segoe UI" w:cs="Segoe UI"/>
          <w:b/>
          <w:bCs/>
          <w:kern w:val="0"/>
          <w14:ligatures w14:val="none"/>
        </w:rPr>
        <w:t>50 basis points</w:t>
      </w:r>
      <w:r w:rsidRPr="004672F3">
        <w:rPr>
          <w:rFonts w:ascii="Segoe UI" w:eastAsia="Times New Roman" w:hAnsi="Segoe UI" w:cs="Segoe UI"/>
          <w:kern w:val="0"/>
          <w14:ligatures w14:val="none"/>
        </w:rPr>
        <w:t xml:space="preserve"> between rating categories has a material impact on long</w:t>
      </w:r>
      <w:r w:rsidRPr="004672F3">
        <w:rPr>
          <w:rFonts w:ascii="Segoe UI" w:eastAsia="Times New Roman" w:hAnsi="Segoe UI" w:cs="Segoe UI"/>
          <w:kern w:val="0"/>
          <w14:ligatures w14:val="none"/>
        </w:rPr>
        <w:noBreakHyphen/>
        <w:t>term borrowing costs.</w:t>
      </w:r>
    </w:p>
    <w:p w14:paraId="44A41977" w14:textId="77777777" w:rsidR="001C6CE2" w:rsidRDefault="001C6CE2" w:rsidP="001C6CE2">
      <w:pPr>
        <w:spacing w:before="100" w:beforeAutospacing="1" w:after="100" w:afterAutospacing="1" w:line="240" w:lineRule="auto"/>
        <w:rPr>
          <w:rFonts w:ascii="Segoe UI" w:eastAsia="Times New Roman" w:hAnsi="Segoe UI" w:cs="Segoe UI"/>
          <w:b/>
          <w:bCs/>
          <w:kern w:val="0"/>
          <w14:ligatures w14:val="none"/>
        </w:rPr>
      </w:pPr>
      <w:r w:rsidRPr="004672F3">
        <w:rPr>
          <w:rFonts w:ascii="Segoe UI" w:eastAsia="Times New Roman" w:hAnsi="Segoe UI" w:cs="Segoe UI"/>
          <w:b/>
          <w:bCs/>
          <w:kern w:val="0"/>
          <w14:ligatures w14:val="none"/>
        </w:rPr>
        <w:t>For a hypothetical Dale Street Elementary School $75 million, 30</w:t>
      </w:r>
      <w:r w:rsidRPr="004672F3">
        <w:rPr>
          <w:rFonts w:ascii="Segoe UI" w:eastAsia="Times New Roman" w:hAnsi="Segoe UI" w:cs="Segoe UI"/>
          <w:b/>
          <w:bCs/>
          <w:kern w:val="0"/>
          <w14:ligatures w14:val="none"/>
        </w:rPr>
        <w:noBreakHyphen/>
        <w:t>year bond:</w:t>
      </w:r>
    </w:p>
    <w:tbl>
      <w:tblPr>
        <w:tblStyle w:val="GridTable1Light-Accent2"/>
        <w:tblW w:w="0" w:type="auto"/>
        <w:tblLook w:val="04A0" w:firstRow="1" w:lastRow="0" w:firstColumn="1" w:lastColumn="0" w:noHBand="0" w:noVBand="1"/>
      </w:tblPr>
      <w:tblGrid>
        <w:gridCol w:w="3116"/>
        <w:gridCol w:w="3117"/>
        <w:gridCol w:w="3117"/>
      </w:tblGrid>
      <w:tr w:rsidR="007C134A" w14:paraId="4C358818" w14:textId="77777777" w:rsidTr="00F257F9">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116" w:type="dxa"/>
            <w:shd w:val="clear" w:color="auto" w:fill="FFCE3C"/>
          </w:tcPr>
          <w:p w14:paraId="38432983" w14:textId="77777777" w:rsidR="007C134A" w:rsidRDefault="007C134A" w:rsidP="007C134A">
            <w:pPr>
              <w:spacing w:before="100" w:beforeAutospacing="1" w:after="100" w:afterAutospacing="1"/>
              <w:jc w:val="center"/>
              <w:rPr>
                <w:rFonts w:ascii="Segoe UI" w:eastAsia="Times New Roman" w:hAnsi="Segoe UI" w:cs="Segoe UI"/>
                <w:b w:val="0"/>
                <w:bCs w:val="0"/>
                <w:kern w:val="0"/>
                <w14:ligatures w14:val="none"/>
              </w:rPr>
            </w:pPr>
          </w:p>
          <w:p w14:paraId="1F252F64" w14:textId="7FF0142E" w:rsidR="007C134A" w:rsidRPr="007C134A" w:rsidRDefault="007C134A" w:rsidP="007C134A">
            <w:pPr>
              <w:spacing w:before="100" w:beforeAutospacing="1" w:after="100" w:afterAutospacing="1"/>
              <w:jc w:val="center"/>
              <w:rPr>
                <w:rFonts w:ascii="Segoe UI" w:eastAsia="Times New Roman" w:hAnsi="Segoe UI" w:cs="Segoe UI"/>
                <w:kern w:val="0"/>
                <w14:ligatures w14:val="none"/>
              </w:rPr>
            </w:pPr>
            <w:r w:rsidRPr="007C134A">
              <w:rPr>
                <w:rFonts w:ascii="Segoe UI" w:eastAsia="Times New Roman" w:hAnsi="Segoe UI" w:cs="Segoe UI"/>
                <w:kern w:val="0"/>
                <w14:ligatures w14:val="none"/>
              </w:rPr>
              <w:t>Scenario</w:t>
            </w:r>
          </w:p>
        </w:tc>
        <w:tc>
          <w:tcPr>
            <w:tcW w:w="3117" w:type="dxa"/>
            <w:shd w:val="clear" w:color="auto" w:fill="FFCE3C"/>
          </w:tcPr>
          <w:p w14:paraId="49FD8889" w14:textId="77777777" w:rsidR="007C134A" w:rsidRDefault="007C134A" w:rsidP="007C134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kern w:val="0"/>
                <w14:ligatures w14:val="none"/>
              </w:rPr>
            </w:pPr>
          </w:p>
          <w:p w14:paraId="7097DDF6" w14:textId="181DCAE6" w:rsidR="007C134A" w:rsidRDefault="007C134A" w:rsidP="007C134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r>
              <w:rPr>
                <w:rFonts w:ascii="Segoe UI" w:eastAsia="Times New Roman" w:hAnsi="Segoe UI" w:cs="Segoe UI"/>
                <w:kern w:val="0"/>
                <w14:ligatures w14:val="none"/>
              </w:rPr>
              <w:t>Level Debt Service</w:t>
            </w:r>
          </w:p>
        </w:tc>
        <w:tc>
          <w:tcPr>
            <w:tcW w:w="3117" w:type="dxa"/>
            <w:shd w:val="clear" w:color="auto" w:fill="FFCE3C"/>
          </w:tcPr>
          <w:p w14:paraId="277E5EB8" w14:textId="77777777" w:rsidR="007C134A" w:rsidRDefault="007C134A" w:rsidP="007C134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kern w:val="0"/>
                <w14:ligatures w14:val="none"/>
              </w:rPr>
            </w:pPr>
          </w:p>
          <w:p w14:paraId="0D2B2BA1" w14:textId="1E6BC557" w:rsidR="007C134A" w:rsidRDefault="007C134A" w:rsidP="007C134A">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r>
              <w:rPr>
                <w:rFonts w:ascii="Segoe UI" w:eastAsia="Times New Roman" w:hAnsi="Segoe UI" w:cs="Segoe UI"/>
                <w:kern w:val="0"/>
                <w14:ligatures w14:val="none"/>
              </w:rPr>
              <w:t>Level Principal</w:t>
            </w:r>
          </w:p>
        </w:tc>
      </w:tr>
      <w:tr w:rsidR="00F257F9" w14:paraId="28C5C969" w14:textId="77777777" w:rsidTr="00F06F41">
        <w:tc>
          <w:tcPr>
            <w:cnfStyle w:val="001000000000" w:firstRow="0" w:lastRow="0" w:firstColumn="1" w:lastColumn="0" w:oddVBand="0" w:evenVBand="0" w:oddHBand="0" w:evenHBand="0" w:firstRowFirstColumn="0" w:firstRowLastColumn="0" w:lastRowFirstColumn="0" w:lastRowLastColumn="0"/>
            <w:tcW w:w="3116" w:type="dxa"/>
            <w:vAlign w:val="center"/>
          </w:tcPr>
          <w:p w14:paraId="3CB2DAEF" w14:textId="30CF2A90" w:rsidR="00F257F9" w:rsidRDefault="00F257F9" w:rsidP="00F257F9">
            <w:pPr>
              <w:spacing w:before="100" w:beforeAutospacing="1" w:after="100" w:afterAutospacing="1"/>
              <w:jc w:val="center"/>
              <w:rPr>
                <w:rFonts w:ascii="Segoe UI" w:eastAsia="Times New Roman" w:hAnsi="Segoe UI" w:cs="Segoe UI"/>
                <w:kern w:val="0"/>
                <w14:ligatures w14:val="none"/>
              </w:rPr>
            </w:pPr>
            <w:r w:rsidRPr="004672F3">
              <w:rPr>
                <w:rFonts w:ascii="Segoe UI" w:eastAsia="Times New Roman" w:hAnsi="Segoe UI" w:cs="Segoe UI"/>
                <w:kern w:val="0"/>
                <w14:ligatures w14:val="none"/>
              </w:rPr>
              <w:t>Upgrade (Aa</w:t>
            </w:r>
            <w:r w:rsidR="00AA11EF">
              <w:rPr>
                <w:rFonts w:ascii="Segoe UI" w:eastAsia="Times New Roman" w:hAnsi="Segoe UI" w:cs="Segoe UI"/>
                <w:kern w:val="0"/>
                <w14:ligatures w14:val="none"/>
              </w:rPr>
              <w:t>1</w:t>
            </w:r>
            <w:r w:rsidRPr="004672F3">
              <w:rPr>
                <w:rFonts w:ascii="Segoe UI" w:eastAsia="Times New Roman" w:hAnsi="Segoe UI" w:cs="Segoe UI"/>
                <w:kern w:val="0"/>
                <w14:ligatures w14:val="none"/>
              </w:rPr>
              <w:t xml:space="preserve"> → </w:t>
            </w:r>
            <w:proofErr w:type="spellStart"/>
            <w:r w:rsidRPr="004672F3">
              <w:rPr>
                <w:rFonts w:ascii="Segoe UI" w:eastAsia="Times New Roman" w:hAnsi="Segoe UI" w:cs="Segoe UI"/>
                <w:kern w:val="0"/>
                <w14:ligatures w14:val="none"/>
              </w:rPr>
              <w:t>Aaa</w:t>
            </w:r>
            <w:proofErr w:type="spellEnd"/>
            <w:r w:rsidRPr="004672F3">
              <w:rPr>
                <w:rFonts w:ascii="Segoe UI" w:eastAsia="Times New Roman" w:hAnsi="Segoe UI" w:cs="Segoe UI"/>
                <w:kern w:val="0"/>
                <w14:ligatures w14:val="none"/>
              </w:rPr>
              <w:t>)</w:t>
            </w:r>
          </w:p>
        </w:tc>
        <w:tc>
          <w:tcPr>
            <w:tcW w:w="3117" w:type="dxa"/>
          </w:tcPr>
          <w:p w14:paraId="71F6A62A" w14:textId="77777777"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p w14:paraId="24FF56F0" w14:textId="72B702E3"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kern w:val="0"/>
                <w14:ligatures w14:val="none"/>
              </w:rPr>
            </w:pPr>
            <w:r w:rsidRPr="004672F3">
              <w:rPr>
                <w:rFonts w:ascii="Segoe UI" w:eastAsia="Times New Roman" w:hAnsi="Segoe UI" w:cs="Segoe UI"/>
                <w:kern w:val="0"/>
                <w14:ligatures w14:val="none"/>
              </w:rPr>
              <w:t xml:space="preserve">≈ </w:t>
            </w:r>
            <w:r w:rsidRPr="004672F3">
              <w:rPr>
                <w:rFonts w:ascii="Segoe UI" w:eastAsia="Times New Roman" w:hAnsi="Segoe UI" w:cs="Segoe UI"/>
                <w:b/>
                <w:bCs/>
                <w:kern w:val="0"/>
                <w14:ligatures w14:val="none"/>
              </w:rPr>
              <w:t>$6.7M savings</w:t>
            </w:r>
          </w:p>
          <w:p w14:paraId="3485D0FA" w14:textId="1E3312DD"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c>
          <w:tcPr>
            <w:tcW w:w="3117" w:type="dxa"/>
          </w:tcPr>
          <w:p w14:paraId="37F83DF7" w14:textId="77777777"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p w14:paraId="179A86D3" w14:textId="1E518216"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kern w:val="0"/>
                <w14:ligatures w14:val="none"/>
              </w:rPr>
            </w:pPr>
            <w:r w:rsidRPr="004672F3">
              <w:rPr>
                <w:rFonts w:ascii="Segoe UI" w:eastAsia="Times New Roman" w:hAnsi="Segoe UI" w:cs="Segoe UI"/>
                <w:kern w:val="0"/>
                <w14:ligatures w14:val="none"/>
              </w:rPr>
              <w:t xml:space="preserve">≈ </w:t>
            </w:r>
            <w:r w:rsidRPr="004672F3">
              <w:rPr>
                <w:rFonts w:ascii="Segoe UI" w:eastAsia="Times New Roman" w:hAnsi="Segoe UI" w:cs="Segoe UI"/>
                <w:b/>
                <w:bCs/>
                <w:kern w:val="0"/>
                <w14:ligatures w14:val="none"/>
              </w:rPr>
              <w:t>$5.8M savings</w:t>
            </w:r>
          </w:p>
          <w:p w14:paraId="0CAECB9C" w14:textId="2E8AB346"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r>
      <w:tr w:rsidR="00F257F9" w14:paraId="2BDC9CC1" w14:textId="77777777" w:rsidTr="007C134A">
        <w:tc>
          <w:tcPr>
            <w:cnfStyle w:val="001000000000" w:firstRow="0" w:lastRow="0" w:firstColumn="1" w:lastColumn="0" w:oddVBand="0" w:evenVBand="0" w:oddHBand="0" w:evenHBand="0" w:firstRowFirstColumn="0" w:firstRowLastColumn="0" w:lastRowFirstColumn="0" w:lastRowLastColumn="0"/>
            <w:tcW w:w="3116" w:type="dxa"/>
          </w:tcPr>
          <w:p w14:paraId="1B301589" w14:textId="77777777" w:rsidR="00F257F9" w:rsidRDefault="00F257F9" w:rsidP="00F257F9">
            <w:pPr>
              <w:spacing w:before="100" w:beforeAutospacing="1" w:after="100" w:afterAutospacing="1"/>
              <w:jc w:val="center"/>
              <w:rPr>
                <w:rFonts w:ascii="Segoe UI" w:eastAsia="Times New Roman" w:hAnsi="Segoe UI" w:cs="Segoe UI"/>
                <w:b w:val="0"/>
                <w:bCs w:val="0"/>
                <w:kern w:val="0"/>
                <w14:ligatures w14:val="none"/>
              </w:rPr>
            </w:pPr>
          </w:p>
          <w:p w14:paraId="46CC7B4A" w14:textId="4AF5E495" w:rsidR="00F257F9" w:rsidRDefault="00F257F9" w:rsidP="00F257F9">
            <w:pPr>
              <w:spacing w:before="100" w:beforeAutospacing="1" w:after="100" w:afterAutospacing="1"/>
              <w:jc w:val="center"/>
              <w:rPr>
                <w:rFonts w:ascii="Segoe UI" w:eastAsia="Times New Roman" w:hAnsi="Segoe UI" w:cs="Segoe UI"/>
                <w:kern w:val="0"/>
                <w14:ligatures w14:val="none"/>
              </w:rPr>
            </w:pPr>
            <w:r w:rsidRPr="004672F3">
              <w:rPr>
                <w:rFonts w:ascii="Segoe UI" w:eastAsia="Times New Roman" w:hAnsi="Segoe UI" w:cs="Segoe UI"/>
                <w:kern w:val="0"/>
                <w14:ligatures w14:val="none"/>
              </w:rPr>
              <w:t>Downgrade (below Aa</w:t>
            </w:r>
            <w:r w:rsidR="008C5D98">
              <w:rPr>
                <w:rFonts w:ascii="Segoe UI" w:eastAsia="Times New Roman" w:hAnsi="Segoe UI" w:cs="Segoe UI"/>
                <w:kern w:val="0"/>
                <w14:ligatures w14:val="none"/>
              </w:rPr>
              <w:t>1</w:t>
            </w:r>
            <w:r>
              <w:rPr>
                <w:rFonts w:ascii="Segoe UI" w:eastAsia="Times New Roman" w:hAnsi="Segoe UI" w:cs="Segoe UI"/>
                <w:kern w:val="0"/>
                <w14:ligatures w14:val="none"/>
              </w:rPr>
              <w:t>)</w:t>
            </w:r>
          </w:p>
        </w:tc>
        <w:tc>
          <w:tcPr>
            <w:tcW w:w="3117" w:type="dxa"/>
          </w:tcPr>
          <w:p w14:paraId="69CCFBCE" w14:textId="77777777"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p w14:paraId="16B573B7" w14:textId="77777777"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kern w:val="0"/>
                <w14:ligatures w14:val="none"/>
              </w:rPr>
            </w:pPr>
            <w:r w:rsidRPr="004672F3">
              <w:rPr>
                <w:rFonts w:ascii="Segoe UI" w:eastAsia="Times New Roman" w:hAnsi="Segoe UI" w:cs="Segoe UI"/>
                <w:kern w:val="0"/>
                <w14:ligatures w14:val="none"/>
              </w:rPr>
              <w:t xml:space="preserve">≈ </w:t>
            </w:r>
            <w:r w:rsidRPr="004672F3">
              <w:rPr>
                <w:rFonts w:ascii="Segoe UI" w:eastAsia="Times New Roman" w:hAnsi="Segoe UI" w:cs="Segoe UI"/>
                <w:b/>
                <w:bCs/>
                <w:kern w:val="0"/>
                <w14:ligatures w14:val="none"/>
              </w:rPr>
              <w:t>$6.7M additional cost</w:t>
            </w:r>
          </w:p>
          <w:p w14:paraId="2DA29DED" w14:textId="1EB6E71D"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c>
          <w:tcPr>
            <w:tcW w:w="3117" w:type="dxa"/>
          </w:tcPr>
          <w:p w14:paraId="0B81DADF" w14:textId="77777777" w:rsidR="00F257F9" w:rsidRDefault="00F257F9">
            <w:pPr>
              <w:cnfStyle w:val="000000000000" w:firstRow="0" w:lastRow="0" w:firstColumn="0" w:lastColumn="0" w:oddVBand="0" w:evenVBand="0" w:oddHBand="0" w:evenHBand="0" w:firstRowFirstColumn="0" w:firstRowLastColumn="0" w:lastRowFirstColumn="0" w:lastRowLastColumn="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8"/>
            </w:tblGrid>
            <w:tr w:rsidR="00F257F9" w:rsidRPr="004672F3" w14:paraId="2F110770" w14:textId="77777777" w:rsidTr="00342046">
              <w:trPr>
                <w:tblCellSpacing w:w="15" w:type="dxa"/>
              </w:trPr>
              <w:tc>
                <w:tcPr>
                  <w:tcW w:w="0" w:type="auto"/>
                  <w:vAlign w:val="center"/>
                  <w:hideMark/>
                </w:tcPr>
                <w:p w14:paraId="0463FAB0" w14:textId="77777777" w:rsidR="00F257F9" w:rsidRDefault="00F257F9" w:rsidP="00F257F9">
                  <w:pPr>
                    <w:spacing w:after="0" w:line="240" w:lineRule="auto"/>
                    <w:jc w:val="center"/>
                    <w:rPr>
                      <w:rFonts w:ascii="Segoe UI" w:eastAsia="Times New Roman" w:hAnsi="Segoe UI" w:cs="Segoe UI"/>
                      <w:kern w:val="0"/>
                      <w14:ligatures w14:val="none"/>
                    </w:rPr>
                  </w:pPr>
                </w:p>
                <w:p w14:paraId="40C05F33" w14:textId="4A24E4A2" w:rsidR="00F257F9" w:rsidRPr="004672F3" w:rsidRDefault="00F257F9" w:rsidP="00F257F9">
                  <w:pPr>
                    <w:spacing w:after="0" w:line="240" w:lineRule="auto"/>
                    <w:jc w:val="center"/>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 </w:t>
                  </w:r>
                  <w:r w:rsidRPr="004672F3">
                    <w:rPr>
                      <w:rFonts w:ascii="Segoe UI" w:eastAsia="Times New Roman" w:hAnsi="Segoe UI" w:cs="Segoe UI"/>
                      <w:b/>
                      <w:bCs/>
                      <w:kern w:val="0"/>
                      <w14:ligatures w14:val="none"/>
                    </w:rPr>
                    <w:t>$5.8M additional cost</w:t>
                  </w:r>
                </w:p>
              </w:tc>
            </w:tr>
          </w:tbl>
          <w:p w14:paraId="529150FB" w14:textId="77777777" w:rsidR="00F257F9" w:rsidRDefault="00F257F9" w:rsidP="00F257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14:ligatures w14:val="none"/>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198"/>
        <w:gridCol w:w="81"/>
      </w:tblGrid>
      <w:tr w:rsidR="001C6CE2" w:rsidRPr="004672F3" w14:paraId="4778B9DE" w14:textId="77777777" w:rsidTr="00F257F9">
        <w:trPr>
          <w:tblHeader/>
          <w:tblCellSpacing w:w="15" w:type="dxa"/>
        </w:trPr>
        <w:tc>
          <w:tcPr>
            <w:tcW w:w="0" w:type="auto"/>
            <w:vAlign w:val="center"/>
          </w:tcPr>
          <w:p w14:paraId="6671C1D2" w14:textId="2DF11B6E" w:rsidR="001C6CE2" w:rsidRPr="004672F3" w:rsidRDefault="001C6CE2" w:rsidP="001C6CE2">
            <w:pPr>
              <w:spacing w:after="0" w:line="240" w:lineRule="auto"/>
              <w:jc w:val="center"/>
              <w:rPr>
                <w:rFonts w:ascii="Segoe UI" w:eastAsia="Times New Roman" w:hAnsi="Segoe UI" w:cs="Segoe UI"/>
                <w:b/>
                <w:bCs/>
                <w:kern w:val="0"/>
                <w14:ligatures w14:val="none"/>
              </w:rPr>
            </w:pPr>
          </w:p>
        </w:tc>
        <w:tc>
          <w:tcPr>
            <w:tcW w:w="0" w:type="auto"/>
            <w:vAlign w:val="center"/>
          </w:tcPr>
          <w:p w14:paraId="35257C17" w14:textId="5E5C69E5" w:rsidR="001C6CE2" w:rsidRPr="004672F3" w:rsidRDefault="00F257F9" w:rsidP="00F257F9">
            <w:pPr>
              <w:spacing w:before="100" w:beforeAutospacing="1" w:after="100" w:afterAutospacing="1" w:line="240" w:lineRule="auto"/>
              <w:rPr>
                <w:rFonts w:ascii="Segoe UI" w:eastAsia="Times New Roman" w:hAnsi="Segoe UI" w:cs="Segoe UI"/>
                <w:b/>
                <w:bCs/>
                <w:kern w:val="0"/>
                <w14:ligatures w14:val="none"/>
              </w:rPr>
            </w:pPr>
            <w:r w:rsidRPr="004672F3">
              <w:rPr>
                <w:rFonts w:ascii="Segoe UI" w:eastAsia="Times New Roman" w:hAnsi="Segoe UI" w:cs="Segoe UI"/>
                <w:kern w:val="0"/>
                <w14:ligatures w14:val="none"/>
              </w:rPr>
              <w:t xml:space="preserve">Across multiple major issuances, even small rate differences compound into </w:t>
            </w:r>
            <w:r w:rsidRPr="004672F3">
              <w:rPr>
                <w:rFonts w:ascii="Segoe UI" w:eastAsia="Times New Roman" w:hAnsi="Segoe UI" w:cs="Segoe UI"/>
                <w:b/>
                <w:bCs/>
                <w:kern w:val="0"/>
                <w14:ligatures w14:val="none"/>
              </w:rPr>
              <w:t>tens of millions</w:t>
            </w:r>
            <w:r w:rsidRPr="004672F3">
              <w:rPr>
                <w:rFonts w:ascii="Segoe UI" w:eastAsia="Times New Roman" w:hAnsi="Segoe UI" w:cs="Segoe UI"/>
                <w:kern w:val="0"/>
                <w14:ligatures w14:val="none"/>
              </w:rPr>
              <w:t xml:space="preserve"> in taxpayer impact.</w:t>
            </w:r>
          </w:p>
        </w:tc>
        <w:tc>
          <w:tcPr>
            <w:tcW w:w="0" w:type="auto"/>
            <w:vAlign w:val="center"/>
          </w:tcPr>
          <w:p w14:paraId="7A166049" w14:textId="04D19F20" w:rsidR="001C6CE2" w:rsidRPr="004672F3" w:rsidRDefault="001C6CE2" w:rsidP="001C6CE2">
            <w:pPr>
              <w:spacing w:after="0" w:line="240" w:lineRule="auto"/>
              <w:jc w:val="center"/>
              <w:rPr>
                <w:rFonts w:ascii="Segoe UI" w:eastAsia="Times New Roman" w:hAnsi="Segoe UI" w:cs="Segoe UI"/>
                <w:b/>
                <w:bCs/>
                <w:kern w:val="0"/>
                <w14:ligatures w14:val="none"/>
              </w:rPr>
            </w:pPr>
          </w:p>
        </w:tc>
      </w:tr>
      <w:tr w:rsidR="001C6CE2" w:rsidRPr="004672F3" w14:paraId="028EED57" w14:textId="77777777" w:rsidTr="00F257F9">
        <w:trPr>
          <w:tblCellSpacing w:w="15" w:type="dxa"/>
        </w:trPr>
        <w:tc>
          <w:tcPr>
            <w:tcW w:w="0" w:type="auto"/>
            <w:vAlign w:val="center"/>
          </w:tcPr>
          <w:p w14:paraId="7D7F6278" w14:textId="3046047E" w:rsidR="001C6CE2" w:rsidRPr="004672F3" w:rsidRDefault="001C6CE2" w:rsidP="001C6CE2">
            <w:pPr>
              <w:spacing w:after="0" w:line="240" w:lineRule="auto"/>
              <w:rPr>
                <w:rFonts w:ascii="Segoe UI" w:eastAsia="Times New Roman" w:hAnsi="Segoe UI" w:cs="Segoe UI"/>
                <w:kern w:val="0"/>
                <w14:ligatures w14:val="none"/>
              </w:rPr>
            </w:pPr>
          </w:p>
        </w:tc>
        <w:tc>
          <w:tcPr>
            <w:tcW w:w="0" w:type="auto"/>
            <w:vAlign w:val="center"/>
          </w:tcPr>
          <w:p w14:paraId="292819CE" w14:textId="77777777" w:rsidR="00F257F9" w:rsidRPr="004672F3" w:rsidRDefault="00F257F9" w:rsidP="00F257F9">
            <w:pPr>
              <w:spacing w:before="100" w:beforeAutospacing="1" w:after="100" w:afterAutospacing="1" w:line="240" w:lineRule="auto"/>
              <w:outlineLvl w:val="0"/>
              <w:rPr>
                <w:rFonts w:ascii="Segoe UI" w:eastAsia="Times New Roman" w:hAnsi="Segoe UI" w:cs="Segoe UI"/>
                <w:b/>
                <w:bCs/>
                <w:kern w:val="36"/>
                <w:sz w:val="48"/>
                <w:szCs w:val="48"/>
                <w14:ligatures w14:val="none"/>
              </w:rPr>
            </w:pPr>
            <w:r w:rsidRPr="004672F3">
              <w:rPr>
                <w:rFonts w:ascii="Segoe UI" w:eastAsia="Times New Roman" w:hAnsi="Segoe UI" w:cs="Segoe UI"/>
                <w:b/>
                <w:bCs/>
                <w:kern w:val="36"/>
                <w:sz w:val="48"/>
                <w:szCs w:val="48"/>
                <w14:ligatures w14:val="none"/>
              </w:rPr>
              <w:t>Conclusion</w:t>
            </w:r>
          </w:p>
          <w:p w14:paraId="0272B986" w14:textId="77777777" w:rsidR="00F257F9" w:rsidRPr="004672F3" w:rsidRDefault="00F257F9" w:rsidP="00F257F9">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Medfield’s recent financial discipline — structural balance, reserve growth, and adherence to policy — positions the Town well for its upcoming rating review. This is especially important as the Town prepares not only for the Dale Street Elementary School bond and the Pfaff replacement, but also for </w:t>
            </w:r>
            <w:r w:rsidRPr="004672F3">
              <w:rPr>
                <w:rFonts w:ascii="Segoe UI" w:eastAsia="Times New Roman" w:hAnsi="Segoe UI" w:cs="Segoe UI"/>
                <w:b/>
                <w:bCs/>
                <w:kern w:val="0"/>
                <w14:ligatures w14:val="none"/>
              </w:rPr>
              <w:t>over $100 million in additional capital needs</w:t>
            </w:r>
            <w:r w:rsidRPr="004672F3">
              <w:rPr>
                <w:rFonts w:ascii="Segoe UI" w:eastAsia="Times New Roman" w:hAnsi="Segoe UI" w:cs="Segoe UI"/>
                <w:kern w:val="0"/>
                <w14:ligatures w14:val="none"/>
              </w:rPr>
              <w:t xml:space="preserve"> for school building systems and water infrastructure over the next five years.</w:t>
            </w:r>
          </w:p>
          <w:p w14:paraId="0643FA50" w14:textId="77777777" w:rsidR="00F257F9" w:rsidRPr="004672F3" w:rsidRDefault="00F257F9" w:rsidP="00F257F9">
            <w:p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Protecting reserves, avoiding one</w:t>
            </w:r>
            <w:r w:rsidRPr="004672F3">
              <w:rPr>
                <w:rFonts w:ascii="Segoe UI" w:eastAsia="Times New Roman" w:hAnsi="Segoe UI" w:cs="Segoe UI"/>
                <w:kern w:val="0"/>
                <w14:ligatures w14:val="none"/>
              </w:rPr>
              <w:noBreakHyphen/>
              <w:t>time revenues for operations, and sustaining strong financial management practices will:</w:t>
            </w:r>
          </w:p>
          <w:p w14:paraId="78E67E1E" w14:textId="77777777" w:rsidR="00F257F9" w:rsidRPr="004672F3" w:rsidRDefault="00F257F9" w:rsidP="00F257F9">
            <w:pPr>
              <w:numPr>
                <w:ilvl w:val="0"/>
                <w:numId w:val="4"/>
              </w:numPr>
              <w:spacing w:before="100" w:beforeAutospacing="1" w:after="100" w:afterAutospacing="1" w:line="240" w:lineRule="auto"/>
              <w:rPr>
                <w:rFonts w:ascii="Segoe UI" w:eastAsia="Times New Roman" w:hAnsi="Segoe UI" w:cs="Segoe UI"/>
                <w:kern w:val="0"/>
                <w14:ligatures w14:val="none"/>
              </w:rPr>
            </w:pPr>
            <w:proofErr w:type="gramStart"/>
            <w:r w:rsidRPr="004672F3">
              <w:rPr>
                <w:rFonts w:ascii="Segoe UI" w:eastAsia="Times New Roman" w:hAnsi="Segoe UI" w:cs="Segoe UI"/>
                <w:kern w:val="0"/>
                <w14:ligatures w14:val="none"/>
              </w:rPr>
              <w:t>Support</w:t>
            </w:r>
            <w:proofErr w:type="gramEnd"/>
            <w:r w:rsidRPr="004672F3">
              <w:rPr>
                <w:rFonts w:ascii="Segoe UI" w:eastAsia="Times New Roman" w:hAnsi="Segoe UI" w:cs="Segoe UI"/>
                <w:kern w:val="0"/>
                <w14:ligatures w14:val="none"/>
              </w:rPr>
              <w:t xml:space="preserve"> potential upward rating movement</w:t>
            </w:r>
          </w:p>
          <w:p w14:paraId="27FC3424" w14:textId="77777777" w:rsidR="00F257F9" w:rsidRDefault="00F257F9" w:rsidP="00F257F9">
            <w:pPr>
              <w:numPr>
                <w:ilvl w:val="0"/>
                <w:numId w:val="4"/>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Reduce borrowing costs for the school project and future capital needs</w:t>
            </w:r>
          </w:p>
          <w:p w14:paraId="1AF19A38" w14:textId="0DC05EA9" w:rsidR="001C6CE2" w:rsidRPr="004672F3" w:rsidRDefault="00F257F9" w:rsidP="00F257F9">
            <w:pPr>
              <w:numPr>
                <w:ilvl w:val="0"/>
                <w:numId w:val="4"/>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Preserve long</w:t>
            </w:r>
            <w:r w:rsidRPr="004672F3">
              <w:rPr>
                <w:rFonts w:ascii="Segoe UI" w:eastAsia="Times New Roman" w:hAnsi="Segoe UI" w:cs="Segoe UI"/>
                <w:kern w:val="0"/>
                <w14:ligatures w14:val="none"/>
              </w:rPr>
              <w:noBreakHyphen/>
              <w:t>term financial flexibility during a period of significant capital</w:t>
            </w:r>
            <w:r>
              <w:rPr>
                <w:rFonts w:ascii="Segoe UI" w:eastAsia="Times New Roman" w:hAnsi="Segoe UI" w:cs="Segoe UI"/>
                <w:kern w:val="0"/>
                <w14:ligatures w14:val="none"/>
              </w:rPr>
              <w:t xml:space="preserve"> investment</w:t>
            </w:r>
          </w:p>
        </w:tc>
        <w:tc>
          <w:tcPr>
            <w:tcW w:w="0" w:type="auto"/>
            <w:vAlign w:val="center"/>
          </w:tcPr>
          <w:p w14:paraId="41B61D4D" w14:textId="6B080A94" w:rsidR="001C6CE2" w:rsidRPr="004672F3" w:rsidRDefault="001C6CE2" w:rsidP="001C6CE2">
            <w:pPr>
              <w:spacing w:after="0" w:line="240" w:lineRule="auto"/>
              <w:rPr>
                <w:rFonts w:ascii="Segoe UI" w:eastAsia="Times New Roman" w:hAnsi="Segoe UI" w:cs="Segoe UI"/>
                <w:kern w:val="0"/>
                <w14:ligatures w14:val="none"/>
              </w:rPr>
            </w:pPr>
          </w:p>
        </w:tc>
      </w:tr>
    </w:tbl>
    <w:p w14:paraId="50E1CD43" w14:textId="77777777" w:rsidR="009900CA" w:rsidRPr="004672F3" w:rsidRDefault="00000000" w:rsidP="009900CA">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lastRenderedPageBreak/>
        <w:pict w14:anchorId="29B09645">
          <v:rect id="_x0000_i1028" style="width:0;height:1.5pt" o:hralign="center" o:hrstd="t" o:hr="t" fillcolor="#a0a0a0" stroked="f"/>
        </w:pict>
      </w:r>
    </w:p>
    <w:p w14:paraId="018C6F3E" w14:textId="77777777" w:rsidR="009900CA" w:rsidRPr="004672F3" w:rsidRDefault="009900CA" w:rsidP="009900CA">
      <w:pPr>
        <w:spacing w:before="100" w:beforeAutospacing="1" w:after="100" w:afterAutospacing="1" w:line="240" w:lineRule="auto"/>
        <w:outlineLvl w:val="0"/>
        <w:rPr>
          <w:rFonts w:ascii="Segoe UI" w:eastAsia="Times New Roman" w:hAnsi="Segoe UI" w:cs="Segoe UI"/>
          <w:b/>
          <w:bCs/>
          <w:kern w:val="36"/>
          <w:sz w:val="48"/>
          <w:szCs w:val="48"/>
          <w14:ligatures w14:val="none"/>
        </w:rPr>
      </w:pPr>
      <w:r w:rsidRPr="004672F3">
        <w:rPr>
          <w:rFonts w:ascii="Segoe UI" w:eastAsia="Times New Roman" w:hAnsi="Segoe UI" w:cs="Segoe UI"/>
          <w:b/>
          <w:bCs/>
          <w:kern w:val="36"/>
          <w:sz w:val="48"/>
          <w:szCs w:val="48"/>
          <w14:ligatures w14:val="none"/>
        </w:rPr>
        <w:t>APPENDIX</w:t>
      </w:r>
    </w:p>
    <w:p w14:paraId="03944038" w14:textId="77777777" w:rsidR="009900CA" w:rsidRPr="004672F3" w:rsidRDefault="009900CA" w:rsidP="009900CA">
      <w:pPr>
        <w:spacing w:before="100" w:beforeAutospacing="1" w:after="100" w:afterAutospacing="1" w:line="240" w:lineRule="auto"/>
        <w:outlineLvl w:val="1"/>
        <w:rPr>
          <w:rFonts w:ascii="Segoe UI" w:eastAsia="Times New Roman" w:hAnsi="Segoe UI" w:cs="Segoe UI"/>
          <w:b/>
          <w:bCs/>
          <w:kern w:val="0"/>
          <w:sz w:val="36"/>
          <w:szCs w:val="36"/>
          <w14:ligatures w14:val="none"/>
        </w:rPr>
      </w:pPr>
      <w:r w:rsidRPr="004672F3">
        <w:rPr>
          <w:rFonts w:ascii="Segoe UI" w:eastAsia="Times New Roman" w:hAnsi="Segoe UI" w:cs="Segoe UI"/>
          <w:b/>
          <w:bCs/>
          <w:kern w:val="0"/>
          <w:sz w:val="36"/>
          <w:szCs w:val="36"/>
          <w14:ligatures w14:val="none"/>
        </w:rPr>
        <w:t>Rating Agency Methodology Overview</w:t>
      </w:r>
    </w:p>
    <w:p w14:paraId="69705BA4" w14:textId="77777777" w:rsidR="009900CA" w:rsidRPr="004672F3" w:rsidRDefault="00000000" w:rsidP="009900CA">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w14:anchorId="768194C1">
          <v:rect id="_x0000_i1029" style="width:0;height:1.5pt" o:hralign="center" o:hrstd="t" o:hr="t" fillcolor="#a0a0a0" stroked="f"/>
        </w:pict>
      </w:r>
    </w:p>
    <w:p w14:paraId="167889DD" w14:textId="77777777" w:rsidR="009900CA" w:rsidRPr="004672F3" w:rsidRDefault="009900CA" w:rsidP="009900CA">
      <w:pPr>
        <w:spacing w:before="100" w:beforeAutospacing="1" w:after="100" w:afterAutospacing="1" w:line="240" w:lineRule="auto"/>
        <w:outlineLvl w:val="0"/>
        <w:rPr>
          <w:rFonts w:ascii="Segoe UI" w:eastAsia="Times New Roman" w:hAnsi="Segoe UI" w:cs="Segoe UI"/>
          <w:b/>
          <w:bCs/>
          <w:kern w:val="36"/>
          <w:sz w:val="48"/>
          <w:szCs w:val="48"/>
          <w14:ligatures w14:val="none"/>
        </w:rPr>
      </w:pPr>
      <w:r w:rsidRPr="004672F3">
        <w:rPr>
          <w:rFonts w:ascii="Segoe UI" w:eastAsia="Times New Roman" w:hAnsi="Segoe UI" w:cs="Segoe UI"/>
          <w:b/>
          <w:bCs/>
          <w:kern w:val="36"/>
          <w:sz w:val="48"/>
          <w:szCs w:val="48"/>
          <w14:ligatures w14:val="none"/>
        </w:rPr>
        <w:t>Moody’s Ratings – Key Components (2024 Methodology)</w:t>
      </w:r>
    </w:p>
    <w:p w14:paraId="294DB15D" w14:textId="77777777" w:rsidR="009900CA" w:rsidRPr="004672F3" w:rsidRDefault="009900CA" w:rsidP="009900CA">
      <w:pPr>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4672F3">
        <w:rPr>
          <w:rFonts w:ascii="Segoe UI" w:eastAsia="Times New Roman" w:hAnsi="Segoe UI" w:cs="Segoe UI"/>
          <w:b/>
          <w:bCs/>
          <w:kern w:val="0"/>
          <w:sz w:val="27"/>
          <w:szCs w:val="27"/>
          <w14:ligatures w14:val="none"/>
        </w:rPr>
        <w:t>Finances (30% of Scorecard)</w:t>
      </w:r>
    </w:p>
    <w:p w14:paraId="2499FA9A" w14:textId="77777777" w:rsidR="009900CA" w:rsidRPr="004672F3" w:rsidRDefault="009900CA" w:rsidP="009900CA">
      <w:pPr>
        <w:numPr>
          <w:ilvl w:val="0"/>
          <w:numId w:val="5"/>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Fund balance as a percentage of revenues</w:t>
      </w:r>
    </w:p>
    <w:p w14:paraId="422FBA2A" w14:textId="77777777" w:rsidR="009900CA" w:rsidRPr="004672F3" w:rsidRDefault="009900CA" w:rsidP="009900CA">
      <w:pPr>
        <w:numPr>
          <w:ilvl w:val="0"/>
          <w:numId w:val="5"/>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Cash balance as a percentage of revenues</w:t>
      </w:r>
    </w:p>
    <w:p w14:paraId="3C05BD64" w14:textId="77777777" w:rsidR="009900CA" w:rsidRPr="004672F3" w:rsidRDefault="009900CA" w:rsidP="009900CA">
      <w:pPr>
        <w:numPr>
          <w:ilvl w:val="0"/>
          <w:numId w:val="5"/>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Five</w:t>
      </w:r>
      <w:r w:rsidRPr="004672F3">
        <w:rPr>
          <w:rFonts w:ascii="Segoe UI" w:eastAsia="Times New Roman" w:hAnsi="Segoe UI" w:cs="Segoe UI"/>
          <w:kern w:val="0"/>
          <w14:ligatures w14:val="none"/>
        </w:rPr>
        <w:noBreakHyphen/>
        <w:t>year trends in fund balance and cash</w:t>
      </w:r>
    </w:p>
    <w:p w14:paraId="433F80E4" w14:textId="77777777" w:rsidR="009900CA" w:rsidRPr="004672F3" w:rsidRDefault="009900CA" w:rsidP="009900CA">
      <w:pPr>
        <w:numPr>
          <w:ilvl w:val="0"/>
          <w:numId w:val="5"/>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Reliance on one</w:t>
      </w:r>
      <w:r w:rsidRPr="004672F3">
        <w:rPr>
          <w:rFonts w:ascii="Segoe UI" w:eastAsia="Times New Roman" w:hAnsi="Segoe UI" w:cs="Segoe UI"/>
          <w:kern w:val="0"/>
          <w14:ligatures w14:val="none"/>
        </w:rPr>
        <w:noBreakHyphen/>
        <w:t>time revenues</w:t>
      </w:r>
    </w:p>
    <w:p w14:paraId="76408351" w14:textId="77777777" w:rsidR="009900CA" w:rsidRPr="004672F3" w:rsidRDefault="009900CA" w:rsidP="009900CA">
      <w:pPr>
        <w:numPr>
          <w:ilvl w:val="0"/>
          <w:numId w:val="5"/>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Recurring revenues vs. recurring expenditures</w:t>
      </w:r>
    </w:p>
    <w:p w14:paraId="23FAA81F" w14:textId="77777777" w:rsidR="009900CA" w:rsidRPr="004672F3" w:rsidRDefault="009900CA" w:rsidP="009900CA">
      <w:pPr>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4672F3">
        <w:rPr>
          <w:rFonts w:ascii="Segoe UI" w:eastAsia="Times New Roman" w:hAnsi="Segoe UI" w:cs="Segoe UI"/>
          <w:b/>
          <w:bCs/>
          <w:kern w:val="0"/>
          <w:sz w:val="27"/>
          <w:szCs w:val="27"/>
          <w14:ligatures w14:val="none"/>
        </w:rPr>
        <w:t>Management &amp; Governance (20%)</w:t>
      </w:r>
    </w:p>
    <w:p w14:paraId="6210841A" w14:textId="77777777" w:rsidR="009900CA" w:rsidRPr="004672F3" w:rsidRDefault="009900CA" w:rsidP="009900CA">
      <w:pPr>
        <w:numPr>
          <w:ilvl w:val="0"/>
          <w:numId w:val="6"/>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Strength and formality of financial policies</w:t>
      </w:r>
    </w:p>
    <w:p w14:paraId="2EA8C74B" w14:textId="77777777" w:rsidR="009900CA" w:rsidRPr="004672F3" w:rsidRDefault="009900CA" w:rsidP="009900CA">
      <w:pPr>
        <w:numPr>
          <w:ilvl w:val="0"/>
          <w:numId w:val="6"/>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Multi</w:t>
      </w:r>
      <w:r w:rsidRPr="004672F3">
        <w:rPr>
          <w:rFonts w:ascii="Segoe UI" w:eastAsia="Times New Roman" w:hAnsi="Segoe UI" w:cs="Segoe UI"/>
          <w:kern w:val="0"/>
          <w14:ligatures w14:val="none"/>
        </w:rPr>
        <w:noBreakHyphen/>
        <w:t>year financial planning</w:t>
      </w:r>
    </w:p>
    <w:p w14:paraId="1BF246AA" w14:textId="77777777" w:rsidR="009900CA" w:rsidRPr="004672F3" w:rsidRDefault="009900CA" w:rsidP="009900CA">
      <w:pPr>
        <w:numPr>
          <w:ilvl w:val="0"/>
          <w:numId w:val="6"/>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Predictability of revenues</w:t>
      </w:r>
    </w:p>
    <w:p w14:paraId="388DA700" w14:textId="77777777" w:rsidR="009900CA" w:rsidRPr="004672F3" w:rsidRDefault="009900CA" w:rsidP="009900CA">
      <w:pPr>
        <w:numPr>
          <w:ilvl w:val="0"/>
          <w:numId w:val="6"/>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 xml:space="preserve">Ability to adjust revenues and </w:t>
      </w:r>
      <w:proofErr w:type="gramStart"/>
      <w:r w:rsidRPr="004672F3">
        <w:rPr>
          <w:rFonts w:ascii="Segoe UI" w:eastAsia="Times New Roman" w:hAnsi="Segoe UI" w:cs="Segoe UI"/>
          <w:kern w:val="0"/>
          <w14:ligatures w14:val="none"/>
        </w:rPr>
        <w:t>expenditures</w:t>
      </w:r>
      <w:proofErr w:type="gramEnd"/>
    </w:p>
    <w:p w14:paraId="2D4C6A2B" w14:textId="77777777" w:rsidR="009900CA" w:rsidRPr="004672F3" w:rsidRDefault="009900CA" w:rsidP="009900CA">
      <w:pPr>
        <w:numPr>
          <w:ilvl w:val="0"/>
          <w:numId w:val="6"/>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Long</w:t>
      </w:r>
      <w:r w:rsidRPr="004672F3">
        <w:rPr>
          <w:rFonts w:ascii="Segoe UI" w:eastAsia="Times New Roman" w:hAnsi="Segoe UI" w:cs="Segoe UI"/>
          <w:kern w:val="0"/>
          <w14:ligatures w14:val="none"/>
        </w:rPr>
        <w:noBreakHyphen/>
        <w:t>term capital and debt planning</w:t>
      </w:r>
    </w:p>
    <w:p w14:paraId="6791ABD1" w14:textId="77777777" w:rsidR="009900CA" w:rsidRPr="004672F3" w:rsidRDefault="009900CA" w:rsidP="009900CA">
      <w:pPr>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4672F3">
        <w:rPr>
          <w:rFonts w:ascii="Segoe UI" w:eastAsia="Times New Roman" w:hAnsi="Segoe UI" w:cs="Segoe UI"/>
          <w:b/>
          <w:bCs/>
          <w:kern w:val="0"/>
          <w:sz w:val="27"/>
          <w:szCs w:val="27"/>
          <w14:ligatures w14:val="none"/>
        </w:rPr>
        <w:t>Moody’s Identifies as Negative:</w:t>
      </w:r>
    </w:p>
    <w:p w14:paraId="5A79539B" w14:textId="77777777" w:rsidR="009900CA" w:rsidRPr="004672F3" w:rsidRDefault="009900CA" w:rsidP="009900CA">
      <w:pPr>
        <w:numPr>
          <w:ilvl w:val="0"/>
          <w:numId w:val="7"/>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Use of one</w:t>
      </w:r>
      <w:r w:rsidRPr="004672F3">
        <w:rPr>
          <w:rFonts w:ascii="Segoe UI" w:eastAsia="Times New Roman" w:hAnsi="Segoe UI" w:cs="Segoe UI"/>
          <w:kern w:val="0"/>
          <w14:ligatures w14:val="none"/>
        </w:rPr>
        <w:noBreakHyphen/>
        <w:t>time revenues for operations</w:t>
      </w:r>
    </w:p>
    <w:p w14:paraId="7B89439C" w14:textId="77777777" w:rsidR="009900CA" w:rsidRPr="004672F3" w:rsidRDefault="009900CA" w:rsidP="009900CA">
      <w:pPr>
        <w:numPr>
          <w:ilvl w:val="0"/>
          <w:numId w:val="7"/>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Drawdowns of reserves for ongoing costs</w:t>
      </w:r>
    </w:p>
    <w:p w14:paraId="5BF3C3DD" w14:textId="77777777" w:rsidR="009900CA" w:rsidRPr="004672F3" w:rsidRDefault="009900CA" w:rsidP="009900CA">
      <w:pPr>
        <w:numPr>
          <w:ilvl w:val="0"/>
          <w:numId w:val="7"/>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Recurring operating deficits</w:t>
      </w:r>
    </w:p>
    <w:p w14:paraId="31ADC96E" w14:textId="77777777" w:rsidR="009900CA" w:rsidRPr="004672F3" w:rsidRDefault="009900CA" w:rsidP="009900CA">
      <w:pPr>
        <w:numPr>
          <w:ilvl w:val="0"/>
          <w:numId w:val="7"/>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Weak adherence to policies</w:t>
      </w:r>
    </w:p>
    <w:p w14:paraId="73155A1F" w14:textId="77777777" w:rsidR="009900CA" w:rsidRPr="004672F3" w:rsidRDefault="00000000" w:rsidP="009900CA">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w14:anchorId="64349916">
          <v:rect id="_x0000_i1030" style="width:0;height:1.5pt" o:hralign="center" o:hrstd="t" o:hr="t" fillcolor="#a0a0a0" stroked="f"/>
        </w:pict>
      </w:r>
    </w:p>
    <w:p w14:paraId="152F5D50" w14:textId="77777777" w:rsidR="009900CA" w:rsidRPr="004672F3" w:rsidRDefault="009900CA" w:rsidP="009900CA">
      <w:pPr>
        <w:spacing w:after="0" w:line="240" w:lineRule="auto"/>
        <w:rPr>
          <w:rFonts w:ascii="Segoe UI" w:eastAsia="Times New Roman" w:hAnsi="Segoe UI" w:cs="Segoe UI"/>
          <w:kern w:val="0"/>
          <w14:ligatures w14:val="none"/>
        </w:rPr>
      </w:pPr>
    </w:p>
    <w:p w14:paraId="551B77E4" w14:textId="77777777" w:rsidR="009900CA" w:rsidRPr="004672F3" w:rsidRDefault="009900CA" w:rsidP="009900CA">
      <w:pPr>
        <w:spacing w:after="0" w:line="240" w:lineRule="auto"/>
        <w:rPr>
          <w:rFonts w:ascii="Segoe UI" w:eastAsia="Times New Roman" w:hAnsi="Segoe UI" w:cs="Segoe UI"/>
          <w:kern w:val="0"/>
          <w14:ligatures w14:val="none"/>
        </w:rPr>
      </w:pPr>
    </w:p>
    <w:p w14:paraId="19D337A7" w14:textId="77777777" w:rsidR="009900CA" w:rsidRPr="004672F3" w:rsidRDefault="009900CA" w:rsidP="009900CA">
      <w:pPr>
        <w:spacing w:after="0" w:line="240" w:lineRule="auto"/>
        <w:rPr>
          <w:rFonts w:ascii="Segoe UI" w:eastAsia="Times New Roman" w:hAnsi="Segoe UI" w:cs="Segoe UI"/>
          <w:kern w:val="0"/>
          <w14:ligatures w14:val="none"/>
        </w:rPr>
      </w:pPr>
    </w:p>
    <w:p w14:paraId="570AC2A1" w14:textId="77777777" w:rsidR="009900CA" w:rsidRPr="004672F3" w:rsidRDefault="009900CA" w:rsidP="009900CA">
      <w:pPr>
        <w:spacing w:before="100" w:beforeAutospacing="1" w:after="100" w:afterAutospacing="1" w:line="240" w:lineRule="auto"/>
        <w:outlineLvl w:val="0"/>
        <w:rPr>
          <w:rFonts w:ascii="Segoe UI" w:eastAsia="Times New Roman" w:hAnsi="Segoe UI" w:cs="Segoe UI"/>
          <w:b/>
          <w:bCs/>
          <w:kern w:val="36"/>
          <w:sz w:val="48"/>
          <w:szCs w:val="48"/>
          <w14:ligatures w14:val="none"/>
        </w:rPr>
      </w:pPr>
      <w:r w:rsidRPr="004672F3">
        <w:rPr>
          <w:rFonts w:ascii="Segoe UI" w:eastAsia="Times New Roman" w:hAnsi="Segoe UI" w:cs="Segoe UI"/>
          <w:b/>
          <w:bCs/>
          <w:kern w:val="36"/>
          <w:sz w:val="48"/>
          <w:szCs w:val="48"/>
          <w14:ligatures w14:val="none"/>
        </w:rPr>
        <w:lastRenderedPageBreak/>
        <w:t>S&amp;P Global Ratings – Key Components (2024 Methodology)</w:t>
      </w:r>
    </w:p>
    <w:p w14:paraId="52D986D5" w14:textId="77777777" w:rsidR="009900CA" w:rsidRPr="004672F3" w:rsidRDefault="009900CA" w:rsidP="009900CA">
      <w:pPr>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4672F3">
        <w:rPr>
          <w:rFonts w:ascii="Segoe UI" w:eastAsia="Times New Roman" w:hAnsi="Segoe UI" w:cs="Segoe UI"/>
          <w:b/>
          <w:bCs/>
          <w:kern w:val="0"/>
          <w:sz w:val="27"/>
          <w:szCs w:val="27"/>
          <w14:ligatures w14:val="none"/>
        </w:rPr>
        <w:t>Five Primary Factors (Equal Weight)</w:t>
      </w:r>
    </w:p>
    <w:p w14:paraId="7E168C3E" w14:textId="77777777" w:rsidR="009900CA" w:rsidRPr="004672F3" w:rsidRDefault="009900CA" w:rsidP="009900CA">
      <w:pPr>
        <w:numPr>
          <w:ilvl w:val="0"/>
          <w:numId w:val="8"/>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Economy</w:t>
      </w:r>
    </w:p>
    <w:p w14:paraId="420F11D2" w14:textId="77777777" w:rsidR="009900CA" w:rsidRPr="004672F3" w:rsidRDefault="009900CA" w:rsidP="009900CA">
      <w:pPr>
        <w:numPr>
          <w:ilvl w:val="0"/>
          <w:numId w:val="8"/>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Financial Performance</w:t>
      </w:r>
    </w:p>
    <w:p w14:paraId="572B8353" w14:textId="77777777" w:rsidR="009900CA" w:rsidRPr="004672F3" w:rsidRDefault="009900CA" w:rsidP="009900CA">
      <w:pPr>
        <w:numPr>
          <w:ilvl w:val="0"/>
          <w:numId w:val="8"/>
        </w:numPr>
        <w:spacing w:before="100" w:beforeAutospacing="1" w:after="100" w:afterAutospacing="1" w:line="240" w:lineRule="auto"/>
        <w:rPr>
          <w:rFonts w:ascii="Segoe UI" w:eastAsia="Times New Roman" w:hAnsi="Segoe UI" w:cs="Segoe UI"/>
          <w:kern w:val="0"/>
          <w14:ligatures w14:val="none"/>
        </w:rPr>
      </w:pPr>
      <w:proofErr w:type="gramStart"/>
      <w:r w:rsidRPr="004672F3">
        <w:rPr>
          <w:rFonts w:ascii="Segoe UI" w:eastAsia="Times New Roman" w:hAnsi="Segoe UI" w:cs="Segoe UI"/>
          <w:kern w:val="0"/>
          <w14:ligatures w14:val="none"/>
        </w:rPr>
        <w:t>Reserves</w:t>
      </w:r>
      <w:proofErr w:type="gramEnd"/>
    </w:p>
    <w:p w14:paraId="3B59DF6B" w14:textId="77777777" w:rsidR="009900CA" w:rsidRPr="004672F3" w:rsidRDefault="009900CA" w:rsidP="009900CA">
      <w:pPr>
        <w:numPr>
          <w:ilvl w:val="0"/>
          <w:numId w:val="8"/>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Liquidity Management</w:t>
      </w:r>
    </w:p>
    <w:p w14:paraId="01DCE4AA" w14:textId="77777777" w:rsidR="009900CA" w:rsidRPr="004672F3" w:rsidRDefault="009900CA" w:rsidP="009900CA">
      <w:pPr>
        <w:numPr>
          <w:ilvl w:val="0"/>
          <w:numId w:val="8"/>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Debt &amp; Liabilities</w:t>
      </w:r>
    </w:p>
    <w:p w14:paraId="123D0A9A" w14:textId="77777777" w:rsidR="009900CA" w:rsidRPr="004672F3" w:rsidRDefault="009900CA" w:rsidP="009900CA">
      <w:pPr>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4672F3">
        <w:rPr>
          <w:rFonts w:ascii="Segoe UI" w:eastAsia="Times New Roman" w:hAnsi="Segoe UI" w:cs="Segoe UI"/>
          <w:b/>
          <w:bCs/>
          <w:kern w:val="0"/>
          <w:sz w:val="27"/>
          <w:szCs w:val="27"/>
          <w14:ligatures w14:val="none"/>
        </w:rPr>
        <w:t>Institutional Framework (State</w:t>
      </w:r>
      <w:r w:rsidRPr="004672F3">
        <w:rPr>
          <w:rFonts w:ascii="Segoe UI" w:eastAsia="Times New Roman" w:hAnsi="Segoe UI" w:cs="Segoe UI"/>
          <w:b/>
          <w:bCs/>
          <w:kern w:val="0"/>
          <w:sz w:val="27"/>
          <w:szCs w:val="27"/>
          <w14:ligatures w14:val="none"/>
        </w:rPr>
        <w:noBreakHyphen/>
        <w:t>Level Overlay)</w:t>
      </w:r>
    </w:p>
    <w:p w14:paraId="4ACC7C4E" w14:textId="77777777" w:rsidR="009900CA" w:rsidRPr="004672F3" w:rsidRDefault="009900CA" w:rsidP="009900CA">
      <w:pPr>
        <w:numPr>
          <w:ilvl w:val="0"/>
          <w:numId w:val="9"/>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Predictability of revenue environment</w:t>
      </w:r>
    </w:p>
    <w:p w14:paraId="21C99C52" w14:textId="77777777" w:rsidR="009900CA" w:rsidRPr="004672F3" w:rsidRDefault="009900CA" w:rsidP="009900CA">
      <w:pPr>
        <w:numPr>
          <w:ilvl w:val="0"/>
          <w:numId w:val="9"/>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Revenue/expenditure balance</w:t>
      </w:r>
    </w:p>
    <w:p w14:paraId="4E7EC36A" w14:textId="77777777" w:rsidR="009900CA" w:rsidRPr="004672F3" w:rsidRDefault="009900CA" w:rsidP="009900CA">
      <w:pPr>
        <w:numPr>
          <w:ilvl w:val="0"/>
          <w:numId w:val="9"/>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Transparency and accountability requirements</w:t>
      </w:r>
    </w:p>
    <w:p w14:paraId="701B9A3D" w14:textId="77777777" w:rsidR="009900CA" w:rsidRPr="004672F3" w:rsidRDefault="009900CA" w:rsidP="009900CA">
      <w:pPr>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4672F3">
        <w:rPr>
          <w:rFonts w:ascii="Segoe UI" w:eastAsia="Times New Roman" w:hAnsi="Segoe UI" w:cs="Segoe UI"/>
          <w:b/>
          <w:bCs/>
          <w:kern w:val="0"/>
          <w:sz w:val="27"/>
          <w:szCs w:val="27"/>
          <w14:ligatures w14:val="none"/>
        </w:rPr>
        <w:t>S&amp;P Evaluates:</w:t>
      </w:r>
    </w:p>
    <w:p w14:paraId="6DF9031A" w14:textId="77777777" w:rsidR="009900CA" w:rsidRPr="004672F3" w:rsidRDefault="009900CA" w:rsidP="009900CA">
      <w:pPr>
        <w:numPr>
          <w:ilvl w:val="0"/>
          <w:numId w:val="10"/>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Recurring revenues vs. recurring expenditures</w:t>
      </w:r>
    </w:p>
    <w:p w14:paraId="04F900D9" w14:textId="77777777" w:rsidR="009900CA" w:rsidRPr="004672F3" w:rsidRDefault="009900CA" w:rsidP="009900CA">
      <w:pPr>
        <w:numPr>
          <w:ilvl w:val="0"/>
          <w:numId w:val="10"/>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Use of one</w:t>
      </w:r>
      <w:r w:rsidRPr="004672F3">
        <w:rPr>
          <w:rFonts w:ascii="Segoe UI" w:eastAsia="Times New Roman" w:hAnsi="Segoe UI" w:cs="Segoe UI"/>
          <w:kern w:val="0"/>
          <w14:ligatures w14:val="none"/>
        </w:rPr>
        <w:noBreakHyphen/>
        <w:t>time revenues</w:t>
      </w:r>
    </w:p>
    <w:p w14:paraId="5FA236CF" w14:textId="77777777" w:rsidR="009900CA" w:rsidRPr="004672F3" w:rsidRDefault="009900CA" w:rsidP="009900CA">
      <w:pPr>
        <w:numPr>
          <w:ilvl w:val="0"/>
          <w:numId w:val="10"/>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Stability and adequacy of reserves</w:t>
      </w:r>
    </w:p>
    <w:p w14:paraId="6D1D82F5" w14:textId="77777777" w:rsidR="009900CA" w:rsidRPr="004672F3" w:rsidRDefault="009900CA" w:rsidP="009900CA">
      <w:pPr>
        <w:numPr>
          <w:ilvl w:val="0"/>
          <w:numId w:val="10"/>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Adherence to formal reserve policies</w:t>
      </w:r>
    </w:p>
    <w:p w14:paraId="2035D017" w14:textId="77777777" w:rsidR="009900CA" w:rsidRPr="004672F3" w:rsidRDefault="009900CA" w:rsidP="009900CA">
      <w:pPr>
        <w:numPr>
          <w:ilvl w:val="0"/>
          <w:numId w:val="10"/>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Multi</w:t>
      </w:r>
      <w:r w:rsidRPr="004672F3">
        <w:rPr>
          <w:rFonts w:ascii="Segoe UI" w:eastAsia="Times New Roman" w:hAnsi="Segoe UI" w:cs="Segoe UI"/>
          <w:kern w:val="0"/>
          <w14:ligatures w14:val="none"/>
        </w:rPr>
        <w:noBreakHyphen/>
        <w:t>year forecasting and budgetary controls</w:t>
      </w:r>
    </w:p>
    <w:p w14:paraId="4B7CC92A" w14:textId="77777777" w:rsidR="009900CA" w:rsidRPr="004672F3" w:rsidRDefault="009900CA" w:rsidP="009900CA">
      <w:pPr>
        <w:spacing w:before="100" w:beforeAutospacing="1" w:after="100" w:afterAutospacing="1" w:line="240" w:lineRule="auto"/>
        <w:outlineLvl w:val="2"/>
        <w:rPr>
          <w:rFonts w:ascii="Segoe UI" w:eastAsia="Times New Roman" w:hAnsi="Segoe UI" w:cs="Segoe UI"/>
          <w:b/>
          <w:bCs/>
          <w:kern w:val="0"/>
          <w:sz w:val="27"/>
          <w:szCs w:val="27"/>
          <w14:ligatures w14:val="none"/>
        </w:rPr>
      </w:pPr>
      <w:r w:rsidRPr="004672F3">
        <w:rPr>
          <w:rFonts w:ascii="Segoe UI" w:eastAsia="Times New Roman" w:hAnsi="Segoe UI" w:cs="Segoe UI"/>
          <w:b/>
          <w:bCs/>
          <w:kern w:val="0"/>
          <w:sz w:val="27"/>
          <w:szCs w:val="27"/>
          <w14:ligatures w14:val="none"/>
        </w:rPr>
        <w:t>S&amp;P Identifies as Negative:</w:t>
      </w:r>
    </w:p>
    <w:p w14:paraId="0D3E1CB0" w14:textId="77777777" w:rsidR="009900CA" w:rsidRPr="004672F3" w:rsidRDefault="009900CA" w:rsidP="009900CA">
      <w:pPr>
        <w:numPr>
          <w:ilvl w:val="0"/>
          <w:numId w:val="11"/>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Repeated use of Free Cash for operations</w:t>
      </w:r>
    </w:p>
    <w:p w14:paraId="22DF49E8" w14:textId="77777777" w:rsidR="009900CA" w:rsidRPr="004672F3" w:rsidRDefault="009900CA" w:rsidP="009900CA">
      <w:pPr>
        <w:numPr>
          <w:ilvl w:val="0"/>
          <w:numId w:val="11"/>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Weak financial management practices</w:t>
      </w:r>
    </w:p>
    <w:p w14:paraId="6B230512" w14:textId="77777777" w:rsidR="009900CA" w:rsidRPr="004672F3" w:rsidRDefault="009900CA" w:rsidP="009900CA">
      <w:pPr>
        <w:numPr>
          <w:ilvl w:val="0"/>
          <w:numId w:val="11"/>
        </w:numPr>
        <w:spacing w:before="100" w:beforeAutospacing="1" w:after="100" w:afterAutospacing="1" w:line="240" w:lineRule="auto"/>
        <w:rPr>
          <w:rFonts w:ascii="Segoe UI" w:eastAsia="Times New Roman" w:hAnsi="Segoe UI" w:cs="Segoe UI"/>
          <w:kern w:val="0"/>
          <w14:ligatures w14:val="none"/>
        </w:rPr>
      </w:pPr>
      <w:r w:rsidRPr="004672F3">
        <w:rPr>
          <w:rFonts w:ascii="Segoe UI" w:eastAsia="Times New Roman" w:hAnsi="Segoe UI" w:cs="Segoe UI"/>
          <w:kern w:val="0"/>
          <w14:ligatures w14:val="none"/>
        </w:rPr>
        <w:t>Erosion of reserves</w:t>
      </w:r>
    </w:p>
    <w:p w14:paraId="168D6217" w14:textId="2BBA6B3C" w:rsidR="004672F3" w:rsidRPr="004672F3" w:rsidRDefault="004672F3">
      <w:pPr>
        <w:rPr>
          <w:rFonts w:ascii="Segoe UI" w:eastAsia="Times New Roman" w:hAnsi="Segoe UI" w:cs="Segoe UI"/>
          <w:kern w:val="0"/>
          <w14:ligatures w14:val="none"/>
        </w:rPr>
      </w:pPr>
    </w:p>
    <w:p w14:paraId="5177B745" w14:textId="77777777" w:rsidR="001C6CE2" w:rsidRPr="004672F3" w:rsidRDefault="00000000" w:rsidP="001C6CE2">
      <w:pPr>
        <w:spacing w:after="0" w:line="240" w:lineRule="auto"/>
        <w:rPr>
          <w:rFonts w:ascii="Segoe UI" w:eastAsia="Times New Roman" w:hAnsi="Segoe UI" w:cs="Segoe UI"/>
          <w:kern w:val="0"/>
          <w14:ligatures w14:val="none"/>
        </w:rPr>
      </w:pPr>
      <w:r>
        <w:rPr>
          <w:rFonts w:ascii="Segoe UI" w:eastAsia="Times New Roman" w:hAnsi="Segoe UI" w:cs="Segoe UI"/>
          <w:kern w:val="0"/>
          <w14:ligatures w14:val="none"/>
        </w:rPr>
        <w:pict w14:anchorId="1D839574">
          <v:rect id="_x0000_i1031" style="width:0;height:1.5pt" o:hralign="center" o:hrstd="t" o:hr="t" fillcolor="#a0a0a0" stroked="f"/>
        </w:pict>
      </w:r>
    </w:p>
    <w:p w14:paraId="021107D2" w14:textId="57A122C8" w:rsidR="001C6CE2" w:rsidRPr="004672F3" w:rsidRDefault="001C6CE2">
      <w:pPr>
        <w:rPr>
          <w:rFonts w:ascii="Segoe UI" w:hAnsi="Segoe UI" w:cs="Segoe UI"/>
        </w:rPr>
      </w:pPr>
    </w:p>
    <w:sectPr w:rsidR="001C6CE2" w:rsidRPr="004672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0C1B" w14:textId="77777777" w:rsidR="00654447" w:rsidRDefault="00654447" w:rsidP="001C6CE2">
      <w:pPr>
        <w:spacing w:after="0" w:line="240" w:lineRule="auto"/>
      </w:pPr>
      <w:r>
        <w:separator/>
      </w:r>
    </w:p>
  </w:endnote>
  <w:endnote w:type="continuationSeparator" w:id="0">
    <w:p w14:paraId="11AD1B53" w14:textId="77777777" w:rsidR="00654447" w:rsidRDefault="00654447" w:rsidP="001C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A4AC" w14:textId="77777777" w:rsidR="009129A7" w:rsidRDefault="00912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24CA" w14:textId="77777777" w:rsidR="009129A7" w:rsidRDefault="00912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1193" w14:textId="77777777" w:rsidR="009129A7" w:rsidRDefault="00912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732D" w14:textId="77777777" w:rsidR="00654447" w:rsidRDefault="00654447" w:rsidP="001C6CE2">
      <w:pPr>
        <w:spacing w:after="0" w:line="240" w:lineRule="auto"/>
      </w:pPr>
      <w:r>
        <w:separator/>
      </w:r>
    </w:p>
  </w:footnote>
  <w:footnote w:type="continuationSeparator" w:id="0">
    <w:p w14:paraId="623E3638" w14:textId="77777777" w:rsidR="00654447" w:rsidRDefault="00654447" w:rsidP="001C6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61B5" w14:textId="77777777" w:rsidR="009129A7" w:rsidRDefault="00912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EB6D" w14:textId="36F53F93" w:rsidR="001C6CE2" w:rsidRDefault="001C6CE2">
    <w:pPr>
      <w:pStyle w:val="Header"/>
    </w:pPr>
    <w:r>
      <w:rPr>
        <w:noProof/>
      </w:rPr>
      <mc:AlternateContent>
        <mc:Choice Requires="wps">
          <w:drawing>
            <wp:anchor distT="0" distB="0" distL="118745" distR="118745" simplePos="0" relativeHeight="251657216" behindDoc="1" locked="0" layoutInCell="1" allowOverlap="0" wp14:anchorId="69773FF5" wp14:editId="7D0FA327">
              <wp:simplePos x="0" y="0"/>
              <wp:positionH relativeFrom="page">
                <wp:align>left</wp:align>
              </wp:positionH>
              <wp:positionV relativeFrom="page">
                <wp:posOffset>30480</wp:posOffset>
              </wp:positionV>
              <wp:extent cx="7719060" cy="144780"/>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7719060" cy="14478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0A1E0DC4" w14:textId="353E75A8" w:rsidR="001C6CE2" w:rsidRDefault="001C6CE2">
                              <w:pPr>
                                <w:pStyle w:val="Header"/>
                                <w:tabs>
                                  <w:tab w:val="clear" w:pos="4680"/>
                                  <w:tab w:val="clear" w:pos="9360"/>
                                </w:tabs>
                                <w:jc w:val="center"/>
                                <w:rPr>
                                  <w:caps/>
                                  <w:color w:val="FFFFFF" w:themeColor="background1"/>
                                </w:rPr>
                              </w:pPr>
                              <w:r w:rsidRPr="004672F3">
                                <w:rPr>
                                  <w:caps/>
                                  <w:color w:val="FFFFFF" w:themeColor="background1"/>
                                  <w:shd w:val="clear" w:color="auto" w:fill="0070C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9773FF5" id="Rectangle 200" o:spid="_x0000_s1026" style="position:absolute;margin-left:0;margin-top:2.4pt;width:607.8pt;height:11.4pt;z-index:-251659264;visibility:visible;mso-wrap-style:square;mso-width-percent:0;mso-height-percent:0;mso-wrap-distance-left:9.35pt;mso-wrap-distance-top:0;mso-wrap-distance-right:9.35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" o:allowoverlap="f" fillcolor="#0070c0" stroked="f" strokeweight="1.5pt">
              <v:textbo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0A1E0DC4" w14:textId="353E75A8" w:rsidR="001C6CE2" w:rsidRDefault="001C6CE2">
                        <w:pPr>
                          <w:pStyle w:val="Header"/>
                          <w:tabs>
                            <w:tab w:val="clear" w:pos="4680"/>
                            <w:tab w:val="clear" w:pos="9360"/>
                          </w:tabs>
                          <w:jc w:val="center"/>
                          <w:rPr>
                            <w:caps/>
                            <w:color w:val="FFFFFF" w:themeColor="background1"/>
                          </w:rPr>
                        </w:pPr>
                        <w:r w:rsidRPr="004672F3">
                          <w:rPr>
                            <w:caps/>
                            <w:color w:val="FFFFFF" w:themeColor="background1"/>
                            <w:shd w:val="clear" w:color="auto" w:fill="0070C0"/>
                          </w:rPr>
                          <w:t xml:space="preserve">     </w:t>
                        </w:r>
                      </w:p>
                    </w:sdtContent>
                  </w:sdt>
                </w:txbxContent>
              </v:textbox>
              <w10:wrap type="square"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5A95" w14:textId="77777777" w:rsidR="009129A7" w:rsidRDefault="00912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665"/>
    <w:multiLevelType w:val="multilevel"/>
    <w:tmpl w:val="1A5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E6496"/>
    <w:multiLevelType w:val="multilevel"/>
    <w:tmpl w:val="12E2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84102"/>
    <w:multiLevelType w:val="multilevel"/>
    <w:tmpl w:val="6B70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B6986"/>
    <w:multiLevelType w:val="multilevel"/>
    <w:tmpl w:val="152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3019B"/>
    <w:multiLevelType w:val="multilevel"/>
    <w:tmpl w:val="B216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10653"/>
    <w:multiLevelType w:val="multilevel"/>
    <w:tmpl w:val="820A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6B5F87"/>
    <w:multiLevelType w:val="multilevel"/>
    <w:tmpl w:val="02D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E50B0"/>
    <w:multiLevelType w:val="multilevel"/>
    <w:tmpl w:val="7CAA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C23C9"/>
    <w:multiLevelType w:val="multilevel"/>
    <w:tmpl w:val="2C90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B7EEB"/>
    <w:multiLevelType w:val="multilevel"/>
    <w:tmpl w:val="C92C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923619"/>
    <w:multiLevelType w:val="multilevel"/>
    <w:tmpl w:val="4F86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2055F"/>
    <w:multiLevelType w:val="multilevel"/>
    <w:tmpl w:val="797C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78201">
    <w:abstractNumId w:val="3"/>
  </w:num>
  <w:num w:numId="2" w16cid:durableId="1273629180">
    <w:abstractNumId w:val="0"/>
  </w:num>
  <w:num w:numId="3" w16cid:durableId="1808277830">
    <w:abstractNumId w:val="5"/>
  </w:num>
  <w:num w:numId="4" w16cid:durableId="548882441">
    <w:abstractNumId w:val="8"/>
  </w:num>
  <w:num w:numId="5" w16cid:durableId="1908034555">
    <w:abstractNumId w:val="6"/>
  </w:num>
  <w:num w:numId="6" w16cid:durableId="938560496">
    <w:abstractNumId w:val="2"/>
  </w:num>
  <w:num w:numId="7" w16cid:durableId="40441137">
    <w:abstractNumId w:val="11"/>
  </w:num>
  <w:num w:numId="8" w16cid:durableId="1399286169">
    <w:abstractNumId w:val="4"/>
  </w:num>
  <w:num w:numId="9" w16cid:durableId="1589390030">
    <w:abstractNumId w:val="9"/>
  </w:num>
  <w:num w:numId="10" w16cid:durableId="2022659887">
    <w:abstractNumId w:val="7"/>
  </w:num>
  <w:num w:numId="11" w16cid:durableId="1380472497">
    <w:abstractNumId w:val="10"/>
  </w:num>
  <w:num w:numId="12" w16cid:durableId="12177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E2"/>
    <w:rsid w:val="000611E9"/>
    <w:rsid w:val="00175849"/>
    <w:rsid w:val="001A38A3"/>
    <w:rsid w:val="001C6CE2"/>
    <w:rsid w:val="004672F3"/>
    <w:rsid w:val="006106EF"/>
    <w:rsid w:val="00654447"/>
    <w:rsid w:val="007A4858"/>
    <w:rsid w:val="007C134A"/>
    <w:rsid w:val="007D5608"/>
    <w:rsid w:val="008C5D98"/>
    <w:rsid w:val="009129A7"/>
    <w:rsid w:val="009900CA"/>
    <w:rsid w:val="00AA11EF"/>
    <w:rsid w:val="00B00452"/>
    <w:rsid w:val="00C577F9"/>
    <w:rsid w:val="00CA7FAB"/>
    <w:rsid w:val="00CC219E"/>
    <w:rsid w:val="00CF197D"/>
    <w:rsid w:val="00E5681F"/>
    <w:rsid w:val="00F257F9"/>
    <w:rsid w:val="00F53FFC"/>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C668F"/>
  <w15:chartTrackingRefBased/>
  <w15:docId w15:val="{517045F8-D5C3-4A18-A5C5-29B8E9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CE2"/>
    <w:rPr>
      <w:rFonts w:eastAsiaTheme="majorEastAsia" w:cstheme="majorBidi"/>
      <w:color w:val="272727" w:themeColor="text1" w:themeTint="D8"/>
    </w:rPr>
  </w:style>
  <w:style w:type="paragraph" w:styleId="Title">
    <w:name w:val="Title"/>
    <w:basedOn w:val="Normal"/>
    <w:next w:val="Normal"/>
    <w:link w:val="TitleChar"/>
    <w:uiPriority w:val="10"/>
    <w:qFormat/>
    <w:rsid w:val="001C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CE2"/>
    <w:pPr>
      <w:spacing w:before="160"/>
      <w:jc w:val="center"/>
    </w:pPr>
    <w:rPr>
      <w:i/>
      <w:iCs/>
      <w:color w:val="404040" w:themeColor="text1" w:themeTint="BF"/>
    </w:rPr>
  </w:style>
  <w:style w:type="character" w:customStyle="1" w:styleId="QuoteChar">
    <w:name w:val="Quote Char"/>
    <w:basedOn w:val="DefaultParagraphFont"/>
    <w:link w:val="Quote"/>
    <w:uiPriority w:val="29"/>
    <w:rsid w:val="001C6CE2"/>
    <w:rPr>
      <w:i/>
      <w:iCs/>
      <w:color w:val="404040" w:themeColor="text1" w:themeTint="BF"/>
    </w:rPr>
  </w:style>
  <w:style w:type="paragraph" w:styleId="ListParagraph">
    <w:name w:val="List Paragraph"/>
    <w:basedOn w:val="Normal"/>
    <w:uiPriority w:val="34"/>
    <w:qFormat/>
    <w:rsid w:val="001C6CE2"/>
    <w:pPr>
      <w:ind w:left="720"/>
      <w:contextualSpacing/>
    </w:pPr>
  </w:style>
  <w:style w:type="character" w:styleId="IntenseEmphasis">
    <w:name w:val="Intense Emphasis"/>
    <w:basedOn w:val="DefaultParagraphFont"/>
    <w:uiPriority w:val="21"/>
    <w:qFormat/>
    <w:rsid w:val="001C6CE2"/>
    <w:rPr>
      <w:i/>
      <w:iCs/>
      <w:color w:val="0F4761" w:themeColor="accent1" w:themeShade="BF"/>
    </w:rPr>
  </w:style>
  <w:style w:type="paragraph" w:styleId="IntenseQuote">
    <w:name w:val="Intense Quote"/>
    <w:basedOn w:val="Normal"/>
    <w:next w:val="Normal"/>
    <w:link w:val="IntenseQuoteChar"/>
    <w:uiPriority w:val="30"/>
    <w:qFormat/>
    <w:rsid w:val="001C6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CE2"/>
    <w:rPr>
      <w:i/>
      <w:iCs/>
      <w:color w:val="0F4761" w:themeColor="accent1" w:themeShade="BF"/>
    </w:rPr>
  </w:style>
  <w:style w:type="character" w:styleId="IntenseReference">
    <w:name w:val="Intense Reference"/>
    <w:basedOn w:val="DefaultParagraphFont"/>
    <w:uiPriority w:val="32"/>
    <w:qFormat/>
    <w:rsid w:val="001C6CE2"/>
    <w:rPr>
      <w:b/>
      <w:bCs/>
      <w:smallCaps/>
      <w:color w:val="0F4761" w:themeColor="accent1" w:themeShade="BF"/>
      <w:spacing w:val="5"/>
    </w:rPr>
  </w:style>
  <w:style w:type="paragraph" w:styleId="Header">
    <w:name w:val="header"/>
    <w:basedOn w:val="Normal"/>
    <w:link w:val="HeaderChar"/>
    <w:uiPriority w:val="99"/>
    <w:unhideWhenUsed/>
    <w:rsid w:val="001C6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E2"/>
  </w:style>
  <w:style w:type="paragraph" w:styleId="Footer">
    <w:name w:val="footer"/>
    <w:basedOn w:val="Normal"/>
    <w:link w:val="FooterChar"/>
    <w:uiPriority w:val="99"/>
    <w:unhideWhenUsed/>
    <w:rsid w:val="001C6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E2"/>
  </w:style>
  <w:style w:type="table" w:styleId="TableGrid">
    <w:name w:val="Table Grid"/>
    <w:basedOn w:val="TableNormal"/>
    <w:uiPriority w:val="39"/>
    <w:rsid w:val="007C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7C134A"/>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735</Words>
  <Characters>4577</Characters>
  <Application>Microsoft Office Word</Application>
  <DocSecurity>0</DocSecurity>
  <Lines>157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Callahan</dc:creator>
  <cp:keywords/>
  <dc:description/>
  <cp:lastModifiedBy>Stephen Callahan</cp:lastModifiedBy>
  <cp:revision>10</cp:revision>
  <cp:lastPrinted>2026-01-22T17:42:00Z</cp:lastPrinted>
  <dcterms:created xsi:type="dcterms:W3CDTF">2026-01-18T16:56:00Z</dcterms:created>
  <dcterms:modified xsi:type="dcterms:W3CDTF">2026-01-28T16:43:00Z</dcterms:modified>
</cp:coreProperties>
</file>